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68" w:rsidRPr="000C644C" w:rsidRDefault="00B85068" w:rsidP="00B85068">
      <w:pPr>
        <w:pStyle w:val="EEMCI1"/>
        <w:spacing w:after="0" w:afterAutospacing="0" w:line="360" w:lineRule="auto"/>
        <w:jc w:val="both"/>
        <w:rPr>
          <w:rFonts w:ascii="Montserrat Light" w:hAnsi="Montserrat Light" w:cs="Arial"/>
          <w:sz w:val="22"/>
          <w:szCs w:val="20"/>
        </w:rPr>
      </w:pPr>
      <w:r w:rsidRPr="000C644C">
        <w:rPr>
          <w:rFonts w:ascii="Montserrat Light" w:hAnsi="Montserrat Light" w:cs="Arial"/>
          <w:color w:val="000000"/>
          <w:sz w:val="20"/>
          <w:szCs w:val="18"/>
        </w:rPr>
        <w:t>Principaux indicateurs de la gouvern</w:t>
      </w:r>
      <w:bookmarkStart w:id="0" w:name="_GoBack"/>
      <w:bookmarkEnd w:id="0"/>
      <w:r w:rsidRPr="000C644C">
        <w:rPr>
          <w:rFonts w:ascii="Montserrat Light" w:hAnsi="Montserrat Light" w:cs="Arial"/>
          <w:color w:val="000000"/>
          <w:sz w:val="20"/>
          <w:szCs w:val="18"/>
        </w:rPr>
        <w:t>ance, paix et sécurité, ERI-ESI, Bénin 2018</w:t>
      </w:r>
    </w:p>
    <w:tbl>
      <w:tblPr>
        <w:tblW w:w="100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15"/>
        <w:gridCol w:w="880"/>
        <w:gridCol w:w="850"/>
        <w:gridCol w:w="831"/>
        <w:gridCol w:w="774"/>
        <w:gridCol w:w="1001"/>
      </w:tblGrid>
      <w:tr w:rsidR="00B85068" w:rsidRPr="000C644C" w:rsidTr="006C731B">
        <w:trPr>
          <w:trHeight w:val="489"/>
          <w:tblHeader/>
        </w:trPr>
        <w:tc>
          <w:tcPr>
            <w:tcW w:w="5715" w:type="dxa"/>
            <w:shd w:val="clear" w:color="000000" w:fill="D9D9D9"/>
          </w:tcPr>
          <w:p w:rsidR="00B85068" w:rsidRPr="000C644C" w:rsidRDefault="00B85068" w:rsidP="006C731B">
            <w:pPr>
              <w:spacing w:after="0" w:line="240" w:lineRule="auto"/>
              <w:rPr>
                <w:rFonts w:ascii="Montserrat Light" w:eastAsia="Times New Roman" w:hAnsi="Montserrat Light"/>
                <w:bCs/>
                <w:color w:val="000000"/>
                <w:sz w:val="18"/>
                <w:szCs w:val="18"/>
                <w:lang w:eastAsia="fr-FR"/>
              </w:rPr>
            </w:pPr>
            <w:r w:rsidRPr="000C644C">
              <w:rPr>
                <w:rFonts w:ascii="Montserrat Light" w:eastAsia="Times New Roman" w:hAnsi="Montserrat Light"/>
                <w:bCs/>
                <w:color w:val="000000"/>
                <w:sz w:val="18"/>
                <w:szCs w:val="18"/>
                <w:lang w:eastAsia="fr-FR"/>
              </w:rPr>
              <w:t>Indicateurs</w:t>
            </w:r>
          </w:p>
        </w:tc>
        <w:tc>
          <w:tcPr>
            <w:tcW w:w="880" w:type="dxa"/>
            <w:shd w:val="clear" w:color="000000" w:fill="D9D9D9"/>
          </w:tcPr>
          <w:p w:rsidR="00B85068" w:rsidRPr="000C644C" w:rsidRDefault="00B85068" w:rsidP="006C731B">
            <w:pPr>
              <w:spacing w:after="0" w:line="240" w:lineRule="auto"/>
              <w:jc w:val="center"/>
              <w:rPr>
                <w:rFonts w:ascii="Montserrat Light" w:eastAsia="Times New Roman" w:hAnsi="Montserrat Light"/>
                <w:bCs/>
                <w:color w:val="000000"/>
                <w:sz w:val="18"/>
                <w:szCs w:val="18"/>
                <w:lang w:eastAsia="fr-FR"/>
              </w:rPr>
            </w:pPr>
            <w:r w:rsidRPr="000C644C">
              <w:rPr>
                <w:rFonts w:ascii="Montserrat Light" w:eastAsia="Times New Roman" w:hAnsi="Montserrat Light"/>
                <w:bCs/>
                <w:color w:val="000000"/>
                <w:sz w:val="18"/>
                <w:szCs w:val="18"/>
                <w:lang w:eastAsia="fr-FR"/>
              </w:rPr>
              <w:t>Cotonou</w:t>
            </w:r>
          </w:p>
        </w:tc>
        <w:tc>
          <w:tcPr>
            <w:tcW w:w="850" w:type="dxa"/>
            <w:shd w:val="clear" w:color="000000" w:fill="D9D9D9"/>
          </w:tcPr>
          <w:p w:rsidR="00B85068" w:rsidRPr="000C644C" w:rsidRDefault="00B85068" w:rsidP="006C731B">
            <w:pPr>
              <w:spacing w:after="0" w:line="240" w:lineRule="auto"/>
              <w:jc w:val="center"/>
              <w:rPr>
                <w:rFonts w:ascii="Montserrat Light" w:eastAsia="Times New Roman" w:hAnsi="Montserrat Light"/>
                <w:bCs/>
                <w:color w:val="000000"/>
                <w:sz w:val="18"/>
                <w:szCs w:val="18"/>
                <w:lang w:eastAsia="fr-FR"/>
              </w:rPr>
            </w:pPr>
            <w:r w:rsidRPr="000C644C">
              <w:rPr>
                <w:rFonts w:ascii="Montserrat Light" w:eastAsia="Times New Roman" w:hAnsi="Montserrat Light"/>
                <w:bCs/>
                <w:color w:val="000000"/>
                <w:sz w:val="18"/>
                <w:szCs w:val="18"/>
                <w:lang w:eastAsia="fr-FR"/>
              </w:rPr>
              <w:t>Autres urbains</w:t>
            </w:r>
          </w:p>
        </w:tc>
        <w:tc>
          <w:tcPr>
            <w:tcW w:w="831" w:type="dxa"/>
            <w:shd w:val="clear" w:color="000000" w:fill="D9D9D9"/>
          </w:tcPr>
          <w:p w:rsidR="00B85068" w:rsidRPr="000C644C" w:rsidRDefault="00B85068" w:rsidP="006C731B">
            <w:pPr>
              <w:spacing w:after="0" w:line="240" w:lineRule="auto"/>
              <w:jc w:val="center"/>
              <w:rPr>
                <w:rFonts w:ascii="Montserrat Light" w:eastAsia="Times New Roman" w:hAnsi="Montserrat Light"/>
                <w:bCs/>
                <w:color w:val="000000"/>
                <w:sz w:val="18"/>
                <w:szCs w:val="18"/>
                <w:lang w:eastAsia="fr-FR"/>
              </w:rPr>
            </w:pPr>
            <w:proofErr w:type="spellStart"/>
            <w:r w:rsidRPr="000C644C">
              <w:rPr>
                <w:rFonts w:ascii="Montserrat Light" w:eastAsia="Times New Roman" w:hAnsi="Montserrat Light"/>
                <w:bCs/>
                <w:color w:val="000000"/>
                <w:sz w:val="18"/>
                <w:szCs w:val="18"/>
                <w:lang w:eastAsia="fr-FR"/>
              </w:rPr>
              <w:t>Ens</w:t>
            </w:r>
            <w:proofErr w:type="spellEnd"/>
            <w:r w:rsidRPr="000C644C">
              <w:rPr>
                <w:rFonts w:ascii="Montserrat Light" w:eastAsia="Times New Roman" w:hAnsi="Montserrat Light"/>
                <w:bCs/>
                <w:color w:val="000000"/>
                <w:sz w:val="18"/>
                <w:szCs w:val="18"/>
                <w:lang w:eastAsia="fr-FR"/>
              </w:rPr>
              <w:t>. urbain</w:t>
            </w:r>
          </w:p>
        </w:tc>
        <w:tc>
          <w:tcPr>
            <w:tcW w:w="774" w:type="dxa"/>
            <w:shd w:val="clear" w:color="000000" w:fill="D9D9D9"/>
          </w:tcPr>
          <w:p w:rsidR="00B85068" w:rsidRPr="000C644C" w:rsidRDefault="00B85068" w:rsidP="006C731B">
            <w:pPr>
              <w:spacing w:after="0" w:line="240" w:lineRule="auto"/>
              <w:jc w:val="center"/>
              <w:rPr>
                <w:rFonts w:ascii="Montserrat Light" w:eastAsia="Times New Roman" w:hAnsi="Montserrat Light"/>
                <w:bCs/>
                <w:color w:val="000000"/>
                <w:sz w:val="18"/>
                <w:szCs w:val="18"/>
                <w:lang w:eastAsia="fr-FR"/>
              </w:rPr>
            </w:pPr>
            <w:r w:rsidRPr="000C644C">
              <w:rPr>
                <w:rFonts w:ascii="Montserrat Light" w:eastAsia="Times New Roman" w:hAnsi="Montserrat Light"/>
                <w:bCs/>
                <w:color w:val="000000"/>
                <w:sz w:val="18"/>
                <w:szCs w:val="18"/>
                <w:lang w:eastAsia="fr-FR"/>
              </w:rPr>
              <w:t>Rural</w:t>
            </w:r>
          </w:p>
        </w:tc>
        <w:tc>
          <w:tcPr>
            <w:tcW w:w="1001" w:type="dxa"/>
            <w:shd w:val="clear" w:color="000000" w:fill="D9D9D9"/>
          </w:tcPr>
          <w:p w:rsidR="00B85068" w:rsidRPr="000C644C" w:rsidRDefault="00B85068" w:rsidP="006C731B">
            <w:pPr>
              <w:spacing w:after="0" w:line="240" w:lineRule="auto"/>
              <w:jc w:val="center"/>
              <w:rPr>
                <w:rFonts w:ascii="Montserrat Light" w:eastAsia="Times New Roman" w:hAnsi="Montserrat Light"/>
                <w:bCs/>
                <w:color w:val="000000"/>
                <w:sz w:val="18"/>
                <w:szCs w:val="18"/>
                <w:lang w:eastAsia="fr-FR"/>
              </w:rPr>
            </w:pPr>
            <w:r w:rsidRPr="000C644C">
              <w:rPr>
                <w:rFonts w:ascii="Montserrat Light" w:eastAsia="Times New Roman" w:hAnsi="Montserrat Light"/>
                <w:bCs/>
                <w:color w:val="000000"/>
                <w:sz w:val="18"/>
                <w:szCs w:val="18"/>
                <w:lang w:eastAsia="fr-FR"/>
              </w:rPr>
              <w:t>Bénin</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satisfait du fonctionnement de la démocratie</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56,7</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64,9</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63,4</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65,7</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64,6</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56,8</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64,2</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62,9</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65,0</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64,0</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56,5</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65,6</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64,0</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66,4</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65,3</w:t>
            </w:r>
          </w:p>
        </w:tc>
      </w:tr>
      <w:tr w:rsidR="00B85068" w:rsidRPr="000C644C" w:rsidTr="006C731B">
        <w:trPr>
          <w:trHeight w:val="20"/>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sz w:val="18"/>
                <w:szCs w:val="18"/>
                <w:lang w:eastAsia="fr-FR"/>
              </w:rPr>
            </w:pPr>
            <w:r w:rsidRPr="000C644C">
              <w:rPr>
                <w:rFonts w:ascii="Montserrat Light" w:eastAsia="Times New Roman" w:hAnsi="Montserrat Light"/>
                <w:b w:val="0"/>
                <w:bCs/>
                <w:sz w:val="18"/>
                <w:szCs w:val="18"/>
                <w:lang w:eastAsia="fr-FR"/>
              </w:rPr>
              <w:t>Pourcentage des individus de 18 ans et plus estimant que les 9 principes démocratiques sont respectés [1]</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27,2</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36,3</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34,7</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38,0</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36,4</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25,8</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34,4</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32,8</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37,4</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35,2</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28,6</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38,1</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36,5</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38,5</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37,5</w:t>
            </w:r>
          </w:p>
        </w:tc>
      </w:tr>
      <w:tr w:rsidR="00B85068" w:rsidRPr="000C644C" w:rsidTr="006C731B">
        <w:trPr>
          <w:trHeight w:val="20"/>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Proportion des individus de 18 ans et plus ayant déclaré avoir personnellement fait objet de discrimination ou de harcèlement pour des motifs interdits par le droit international des droits de l’homme</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20,4</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31,1</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29,2</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27,9</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28,5</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22,3</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32,5</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30,6</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29,6</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30,1</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18,7</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29,8</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27,8</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26,3</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27,0</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Indice de perception</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Droits civils et politiques</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0,550</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0,662</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0,642</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0,688</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0,666</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Participation</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0,536</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0,647</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0,627</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0,643</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0,636</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Absence de discrimination et d'inégalités de sexe</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0,573</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0,573</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0,573</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0,556</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0,564</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Droit de l'homme et participation</w:t>
            </w:r>
          </w:p>
        </w:tc>
        <w:tc>
          <w:tcPr>
            <w:tcW w:w="88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0,545</w:t>
            </w:r>
          </w:p>
        </w:tc>
        <w:tc>
          <w:tcPr>
            <w:tcW w:w="850"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0,642</w:t>
            </w:r>
          </w:p>
        </w:tc>
        <w:tc>
          <w:tcPr>
            <w:tcW w:w="83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0,625</w:t>
            </w:r>
          </w:p>
        </w:tc>
        <w:tc>
          <w:tcPr>
            <w:tcW w:w="774"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0,646</w:t>
            </w:r>
          </w:p>
        </w:tc>
        <w:tc>
          <w:tcPr>
            <w:tcW w:w="1001" w:type="dxa"/>
            <w:shd w:val="clear" w:color="auto" w:fill="auto"/>
            <w:vAlign w:val="center"/>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0,636</w:t>
            </w:r>
          </w:p>
        </w:tc>
      </w:tr>
      <w:tr w:rsidR="00B85068" w:rsidRPr="000C644C" w:rsidTr="006C731B">
        <w:trPr>
          <w:trHeight w:val="296"/>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Degré de confiance des individus ayant été en contact avec les institutions</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L'administration (en général)</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61,7</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62,9</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62,7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57,7</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60,3</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La justice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56,2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58,9</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58,5</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50,8</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54,5</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La police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54,0</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61,0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60,0</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50,6</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55,1</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Le système de santé public</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69,3</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78,7</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77,4</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76,9</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77,1</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Le système public d'éducation</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71,0</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74,8</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74,3</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71,6</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72,9</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estimant que la corruption est importante dans le pays</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69,7</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75,1</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74,1</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69,7</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71,8</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71,0</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76,1</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75,1</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69,7</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72,3</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68,4</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74,2</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73,2</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69,8</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71,3</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estimant que les citoyens sont consultés dans la prise de décision</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13,7</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30,9</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27,8</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35,3</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31,8</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15,4</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31,4</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28,4</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36,6</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32,8</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12,0</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30,5</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27,2</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34,1</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30,9</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ayant voté aux dernières élections</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80,1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85,9</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84,8</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83,9</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84,3</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81,1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86,6</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85,5</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84,5</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85,0</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79,1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85,2</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84,1</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83,2</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83,7</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appartenant à un partie politique</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11,8</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10,5</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10,7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9,3</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10,0</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14,5</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14,2</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14,3</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13,5</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13,9</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lastRenderedPageBreak/>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9,1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7,4</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5,5</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6,4</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estimant que les autorités centrales prennent en compte les préoccupations:</w:t>
            </w:r>
          </w:p>
        </w:tc>
        <w:tc>
          <w:tcPr>
            <w:tcW w:w="880" w:type="dxa"/>
            <w:shd w:val="clear" w:color="auto" w:fill="auto"/>
            <w:vAlign w:val="bottom"/>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vAlign w:val="bottom"/>
          </w:tcPr>
          <w:p w:rsidR="00B85068" w:rsidRPr="000C644C" w:rsidRDefault="00B85068" w:rsidP="006C731B">
            <w:pPr>
              <w:spacing w:after="0" w:line="240" w:lineRule="auto"/>
              <w:rPr>
                <w:rFonts w:ascii="Montserrat Light" w:eastAsia="Times New Roman" w:hAnsi="Montserrat Light"/>
                <w:b w:val="0"/>
                <w:lang w:eastAsia="fr-FR"/>
              </w:rPr>
            </w:pPr>
          </w:p>
        </w:tc>
        <w:tc>
          <w:tcPr>
            <w:tcW w:w="831" w:type="dxa"/>
            <w:shd w:val="clear" w:color="auto" w:fill="auto"/>
            <w:vAlign w:val="bottom"/>
          </w:tcPr>
          <w:p w:rsidR="00B85068" w:rsidRPr="000C644C" w:rsidRDefault="00B85068" w:rsidP="006C731B">
            <w:pPr>
              <w:spacing w:after="0" w:line="240" w:lineRule="auto"/>
              <w:rPr>
                <w:rFonts w:ascii="Montserrat Light" w:eastAsia="Times New Roman" w:hAnsi="Montserrat Light"/>
                <w:b w:val="0"/>
                <w:lang w:eastAsia="fr-FR"/>
              </w:rPr>
            </w:pPr>
          </w:p>
        </w:tc>
        <w:tc>
          <w:tcPr>
            <w:tcW w:w="774" w:type="dxa"/>
            <w:shd w:val="clear" w:color="auto" w:fill="auto"/>
            <w:vAlign w:val="bottom"/>
          </w:tcPr>
          <w:p w:rsidR="00B85068" w:rsidRPr="000C644C" w:rsidRDefault="00B85068" w:rsidP="006C731B">
            <w:pPr>
              <w:spacing w:after="0" w:line="240" w:lineRule="auto"/>
              <w:rPr>
                <w:rFonts w:ascii="Montserrat Light" w:eastAsia="Times New Roman" w:hAnsi="Montserrat Light"/>
                <w:b w:val="0"/>
                <w:lang w:eastAsia="fr-FR"/>
              </w:rPr>
            </w:pPr>
          </w:p>
        </w:tc>
        <w:tc>
          <w:tcPr>
            <w:tcW w:w="1001" w:type="dxa"/>
            <w:shd w:val="clear" w:color="auto" w:fill="auto"/>
            <w:vAlign w:val="bottom"/>
          </w:tcPr>
          <w:p w:rsidR="00B85068" w:rsidRPr="000C644C" w:rsidRDefault="00B85068" w:rsidP="006C731B">
            <w:pPr>
              <w:spacing w:after="0" w:line="240" w:lineRule="auto"/>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Population</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11,4</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31,3</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33,2</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30,7</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Les groupes minoritaires</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8,8</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28,0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24,5</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28,8</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26,8</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Les partis politiques d'opposition</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11,4</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31,3</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27,7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33,2</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30,7</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Indice de perception</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Système judiciaire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0,439</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0,478</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0,471</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0,448</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0,459</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Absence de corruption</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0,473</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0,396</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0,410</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0,396</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0,403</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Etat de droit</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0,467</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0,410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0,420</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0,405</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0,412</w:t>
            </w:r>
          </w:p>
        </w:tc>
      </w:tr>
      <w:tr w:rsidR="00B85068" w:rsidRPr="000C644C" w:rsidTr="006C731B">
        <w:trPr>
          <w:trHeight w:val="711"/>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considérant qu'il n'y a pas de danger à se déplacer seules à pied dans leur zone de résidence</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center"/>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43,1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53,8</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51,9</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51,9</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51,9</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46,1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53,0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51,7</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51,7</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40,2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54,6</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52,0</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52,0</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52,0</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Pourcentage des individus de 18 ans et plus menacées avec une arme au cours des 12 derniers mois</w:t>
            </w:r>
          </w:p>
        </w:tc>
        <w:tc>
          <w:tcPr>
            <w:tcW w:w="880"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0,288</w:t>
            </w: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0,973</w:t>
            </w: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0,850</w:t>
            </w: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1,047</w:t>
            </w: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0,954</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Pourcentage des individus de 18 ans et plus menacées avec un autre type d'arme (ex, couteau, machette,) au cours des 12 derniers mois</w:t>
            </w:r>
          </w:p>
        </w:tc>
        <w:tc>
          <w:tcPr>
            <w:tcW w:w="880"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0,414</w:t>
            </w: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1,431</w:t>
            </w: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1,248</w:t>
            </w: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1,444</w:t>
            </w: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1,352</w:t>
            </w:r>
          </w:p>
        </w:tc>
      </w:tr>
      <w:tr w:rsidR="00B85068" w:rsidRPr="000C644C" w:rsidTr="006C731B">
        <w:trPr>
          <w:trHeight w:val="711"/>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victimes de violences physiques, psychologiques ou sexuelles au cours des 12 mois précédents</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13,2</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11,9</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12,2</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12,1</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14,1</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12,8</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12,8</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12,8</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12,4</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11,1</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11,7</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11,4</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Pourcentage des individus de 18 ans et plus estimant qu’il est probable qu’elle soit victime de criminalité</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jc w:val="right"/>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Ensemble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22,7</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16,4</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16,6</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16,5</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Homme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23,1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15,7</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17,0</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17,4</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17,2</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Femme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22,3</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14,3</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15,9</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15,8</w:t>
            </w:r>
          </w:p>
        </w:tc>
      </w:tr>
      <w:tr w:rsidR="00B85068" w:rsidRPr="000C644C" w:rsidTr="006C731B">
        <w:trPr>
          <w:trHeight w:val="474"/>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Pourcentage des individus de 18 ans et plus ayant confiance à l’Etat pour assurer la sécurité</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52,6</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71,2</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67,9</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69,3</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68,6</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r w:rsidRPr="000C644C">
              <w:rPr>
                <w:rFonts w:ascii="Montserrat Light" w:eastAsia="Times New Roman" w:hAnsi="Montserrat Light"/>
                <w:b w:val="0"/>
                <w:bCs/>
                <w:color w:val="000000"/>
                <w:sz w:val="18"/>
                <w:szCs w:val="18"/>
                <w:lang w:eastAsia="fr-FR"/>
              </w:rPr>
              <w:t>Indice de perception</w:t>
            </w:r>
          </w:p>
        </w:tc>
        <w:tc>
          <w:tcPr>
            <w:tcW w:w="880" w:type="dxa"/>
            <w:shd w:val="clear" w:color="auto" w:fill="auto"/>
          </w:tcPr>
          <w:p w:rsidR="00B85068" w:rsidRPr="000C644C" w:rsidRDefault="00B85068" w:rsidP="006C731B">
            <w:pPr>
              <w:spacing w:after="0" w:line="240" w:lineRule="auto"/>
              <w:rPr>
                <w:rFonts w:ascii="Montserrat Light" w:eastAsia="Times New Roman" w:hAnsi="Montserrat Light"/>
                <w:b w:val="0"/>
                <w:bCs/>
                <w:color w:val="000000"/>
                <w:sz w:val="18"/>
                <w:szCs w:val="18"/>
                <w:lang w:eastAsia="fr-FR"/>
              </w:rPr>
            </w:pPr>
          </w:p>
        </w:tc>
        <w:tc>
          <w:tcPr>
            <w:tcW w:w="850"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831"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774"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c>
          <w:tcPr>
            <w:tcW w:w="1001" w:type="dxa"/>
            <w:shd w:val="clear" w:color="auto" w:fill="auto"/>
          </w:tcPr>
          <w:p w:rsidR="00B85068" w:rsidRPr="000C644C" w:rsidRDefault="00B85068" w:rsidP="006C731B">
            <w:pPr>
              <w:spacing w:after="0" w:line="240" w:lineRule="auto"/>
              <w:rPr>
                <w:rFonts w:ascii="Montserrat Light" w:eastAsia="Times New Roman" w:hAnsi="Montserrat Light"/>
                <w:b w:val="0"/>
                <w:lang w:eastAsia="fr-FR"/>
              </w:rPr>
            </w:pP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Sécurité nationale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0,532</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0,514</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0,518</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0,513</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0,515</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Sécurité publique</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0,703</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0,726</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0,722</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0,724</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0,723</w:t>
            </w:r>
          </w:p>
        </w:tc>
      </w:tr>
      <w:tr w:rsidR="00B85068" w:rsidRPr="000C644C" w:rsidTr="006C731B">
        <w:trPr>
          <w:trHeight w:val="237"/>
        </w:trPr>
        <w:tc>
          <w:tcPr>
            <w:tcW w:w="5715" w:type="dxa"/>
            <w:shd w:val="clear" w:color="auto" w:fill="auto"/>
          </w:tcPr>
          <w:p w:rsidR="00B85068" w:rsidRPr="000C644C" w:rsidRDefault="00B85068" w:rsidP="006C731B">
            <w:pPr>
              <w:spacing w:after="0" w:line="240" w:lineRule="auto"/>
              <w:ind w:firstLineChars="100" w:firstLine="180"/>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Paix et sécurité</w:t>
            </w:r>
          </w:p>
        </w:tc>
        <w:tc>
          <w:tcPr>
            <w:tcW w:w="88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0,691</w:t>
            </w:r>
          </w:p>
        </w:tc>
        <w:tc>
          <w:tcPr>
            <w:tcW w:w="850"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0,710</w:t>
            </w:r>
          </w:p>
        </w:tc>
        <w:tc>
          <w:tcPr>
            <w:tcW w:w="83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0,707</w:t>
            </w:r>
          </w:p>
        </w:tc>
        <w:tc>
          <w:tcPr>
            <w:tcW w:w="774"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0,709</w:t>
            </w:r>
          </w:p>
        </w:tc>
        <w:tc>
          <w:tcPr>
            <w:tcW w:w="1001" w:type="dxa"/>
            <w:shd w:val="clear" w:color="auto" w:fill="auto"/>
            <w:vAlign w:val="bottom"/>
          </w:tcPr>
          <w:p w:rsidR="00B85068" w:rsidRPr="000C644C" w:rsidRDefault="00B85068" w:rsidP="006C731B">
            <w:pPr>
              <w:spacing w:after="0" w:line="240" w:lineRule="auto"/>
              <w:jc w:val="right"/>
              <w:rPr>
                <w:rFonts w:ascii="Montserrat Light" w:eastAsia="Times New Roman" w:hAnsi="Montserrat Light"/>
                <w:b w:val="0"/>
                <w:color w:val="000000"/>
                <w:sz w:val="18"/>
                <w:szCs w:val="18"/>
                <w:lang w:eastAsia="fr-FR"/>
              </w:rPr>
            </w:pPr>
            <w:r w:rsidRPr="000C644C">
              <w:rPr>
                <w:rFonts w:ascii="Montserrat Light" w:eastAsia="Times New Roman" w:hAnsi="Montserrat Light"/>
                <w:b w:val="0"/>
                <w:color w:val="000000"/>
                <w:sz w:val="18"/>
                <w:szCs w:val="18"/>
                <w:lang w:eastAsia="fr-FR"/>
              </w:rPr>
              <w:t>0,708</w:t>
            </w:r>
          </w:p>
        </w:tc>
      </w:tr>
    </w:tbl>
    <w:p w:rsidR="00B85068" w:rsidRPr="000C644C" w:rsidRDefault="00B85068" w:rsidP="00B85068">
      <w:pPr>
        <w:pStyle w:val="EEMCI1"/>
        <w:spacing w:after="0" w:afterAutospacing="0" w:line="360" w:lineRule="auto"/>
        <w:jc w:val="both"/>
        <w:rPr>
          <w:rFonts w:ascii="Montserrat Light" w:hAnsi="Montserrat Light" w:cs="Arial"/>
          <w:i/>
          <w:sz w:val="18"/>
          <w:szCs w:val="18"/>
        </w:rPr>
      </w:pPr>
      <w:r w:rsidRPr="000C644C">
        <w:rPr>
          <w:rFonts w:ascii="Montserrat Light" w:hAnsi="Montserrat Light" w:cs="Arial"/>
          <w:i/>
          <w:sz w:val="18"/>
          <w:szCs w:val="18"/>
        </w:rPr>
        <w:t>Source : Enquête régionale intégrée sur l’emploi et le secteur informel, 2018, INSAE</w:t>
      </w:r>
    </w:p>
    <w:p w:rsidR="009321D0" w:rsidRPr="000C644C" w:rsidRDefault="00B85068" w:rsidP="00B85068">
      <w:pPr>
        <w:pStyle w:val="EEMCI1"/>
        <w:spacing w:after="0" w:afterAutospacing="0" w:line="276" w:lineRule="auto"/>
        <w:jc w:val="both"/>
        <w:rPr>
          <w:rFonts w:ascii="Montserrat Light" w:hAnsi="Montserrat Light"/>
        </w:rPr>
      </w:pPr>
      <w:r w:rsidRPr="000C644C">
        <w:rPr>
          <w:rFonts w:ascii="Montserrat Light" w:hAnsi="Montserrat Light" w:cs="Arial"/>
          <w:b w:val="0"/>
          <w:color w:val="000000"/>
          <w:sz w:val="18"/>
          <w:szCs w:val="18"/>
        </w:rPr>
        <w:t xml:space="preserve">[1] </w:t>
      </w:r>
      <w:r w:rsidRPr="000C644C">
        <w:rPr>
          <w:rFonts w:ascii="Montserrat Light" w:eastAsia="Calibri" w:hAnsi="Montserrat Light" w:cs="Arial"/>
          <w:b w:val="0"/>
          <w:sz w:val="18"/>
          <w:szCs w:val="18"/>
        </w:rPr>
        <w:t>Liste des principes démocratiques : 1. Liberté d’expression 2. Liberté de la presse (média) 3. Egalité devant la loi 4. Liberté politique (choix de son parti) 5. Elections libres et transparentes 6. Liberté de voyager 7. Liberté de religion 8. Liberté d'association 9. Absence de discrimination</w:t>
      </w:r>
    </w:p>
    <w:sectPr w:rsidR="009321D0" w:rsidRPr="000C64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0DC" w:rsidRDefault="007760DC" w:rsidP="009D46AB">
      <w:pPr>
        <w:spacing w:after="0" w:line="240" w:lineRule="auto"/>
      </w:pPr>
      <w:r>
        <w:separator/>
      </w:r>
    </w:p>
  </w:endnote>
  <w:endnote w:type="continuationSeparator" w:id="0">
    <w:p w:rsidR="007760DC" w:rsidRDefault="007760DC" w:rsidP="009D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0DC" w:rsidRDefault="007760DC" w:rsidP="009D46AB">
      <w:pPr>
        <w:spacing w:after="0" w:line="240" w:lineRule="auto"/>
      </w:pPr>
      <w:r>
        <w:separator/>
      </w:r>
    </w:p>
  </w:footnote>
  <w:footnote w:type="continuationSeparator" w:id="0">
    <w:p w:rsidR="007760DC" w:rsidRDefault="007760DC" w:rsidP="009D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459"/>
      <w:tblW w:w="10962" w:type="dxa"/>
      <w:tblLayout w:type="fixed"/>
      <w:tblLook w:val="04A0" w:firstRow="1" w:lastRow="0" w:firstColumn="1" w:lastColumn="0" w:noHBand="0" w:noVBand="1"/>
    </w:tblPr>
    <w:tblGrid>
      <w:gridCol w:w="2862"/>
      <w:gridCol w:w="8100"/>
    </w:tblGrid>
    <w:tr w:rsidR="009D46AB" w:rsidRPr="00655156" w:rsidTr="006C731B">
      <w:trPr>
        <w:trHeight w:val="1418"/>
      </w:trPr>
      <w:tc>
        <w:tcPr>
          <w:tcW w:w="2862" w:type="dxa"/>
          <w:tcBorders>
            <w:bottom w:val="thinThickSmallGap" w:sz="24" w:space="0" w:color="339966"/>
          </w:tcBorders>
        </w:tcPr>
        <w:p w:rsidR="009D46AB" w:rsidRPr="00655156" w:rsidRDefault="009D46AB" w:rsidP="009D46AB">
          <w:pPr>
            <w:rPr>
              <w:rFonts w:ascii="Montserrat Light" w:hAnsi="Montserrat Light"/>
              <w:lang w:val="en-US"/>
            </w:rPr>
          </w:pPr>
          <w:r w:rsidRPr="00655156">
            <w:rPr>
              <w:rFonts w:ascii="Montserrat Light" w:hAnsi="Montserrat Light"/>
              <w:noProof/>
              <w:lang w:eastAsia="fr-FR"/>
            </w:rPr>
            <w:drawing>
              <wp:anchor distT="0" distB="0" distL="114300" distR="114300" simplePos="0" relativeHeight="251659264" behindDoc="0" locked="0" layoutInCell="1" allowOverlap="1" wp14:anchorId="4399E5C6" wp14:editId="0210C4C9">
                <wp:simplePos x="0" y="0"/>
                <wp:positionH relativeFrom="column">
                  <wp:posOffset>216535</wp:posOffset>
                </wp:positionH>
                <wp:positionV relativeFrom="paragraph">
                  <wp:posOffset>55880</wp:posOffset>
                </wp:positionV>
                <wp:extent cx="1137920" cy="860425"/>
                <wp:effectExtent l="0" t="0" r="5080" b="15875"/>
                <wp:wrapNone/>
                <wp:docPr id="1" name="Image 1" descr="C:\Users\echognika\Pictures\Logo_insae_validé.jpgLogo_insae_valid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echognika\Pictures\Logo_insae_validé.jpgLogo_insae_validé"/>
                        <pic:cNvPicPr>
                          <a:picLocks noChangeAspect="1" noChangeArrowheads="1"/>
                        </pic:cNvPicPr>
                      </pic:nvPicPr>
                      <pic:blipFill>
                        <a:blip r:embed="rId1"/>
                        <a:srcRect/>
                        <a:stretch>
                          <a:fillRect/>
                        </a:stretch>
                      </pic:blipFill>
                      <pic:spPr>
                        <a:xfrm>
                          <a:off x="0" y="0"/>
                          <a:ext cx="1138237" cy="860425"/>
                        </a:xfrm>
                        <a:prstGeom prst="rect">
                          <a:avLst/>
                        </a:prstGeom>
                        <a:noFill/>
                        <a:ln>
                          <a:noFill/>
                        </a:ln>
                      </pic:spPr>
                    </pic:pic>
                  </a:graphicData>
                </a:graphic>
              </wp:anchor>
            </w:drawing>
          </w:r>
        </w:p>
      </w:tc>
      <w:tc>
        <w:tcPr>
          <w:tcW w:w="8100" w:type="dxa"/>
          <w:tcBorders>
            <w:bottom w:val="thinThickSmallGap" w:sz="24" w:space="0" w:color="339966"/>
          </w:tcBorders>
        </w:tcPr>
        <w:p w:rsidR="009D46AB" w:rsidRDefault="009D46AB" w:rsidP="009D46AB">
          <w:pPr>
            <w:spacing w:after="0" w:line="240" w:lineRule="auto"/>
            <w:jc w:val="center"/>
            <w:rPr>
              <w:rFonts w:ascii="Montserrat Light" w:hAnsi="Montserrat Light"/>
              <w:smallCaps/>
            </w:rPr>
          </w:pPr>
          <w:r w:rsidRPr="00655156">
            <w:rPr>
              <w:rFonts w:ascii="Montserrat Light" w:hAnsi="Montserrat Light"/>
              <w:smallCaps/>
            </w:rPr>
            <w:t>République du Bénin</w:t>
          </w:r>
        </w:p>
        <w:p w:rsidR="009D46AB" w:rsidRPr="00655156" w:rsidRDefault="009D46AB" w:rsidP="009D46AB">
          <w:pPr>
            <w:spacing w:after="0" w:line="240" w:lineRule="auto"/>
            <w:jc w:val="center"/>
            <w:rPr>
              <w:rFonts w:ascii="Montserrat Light" w:hAnsi="Montserrat Light"/>
              <w:b w:val="0"/>
              <w:smallCaps/>
            </w:rPr>
          </w:pPr>
          <w:r w:rsidRPr="00655156">
            <w:rPr>
              <w:rFonts w:ascii="Montserrat Light" w:hAnsi="Montserrat Light"/>
              <w:smallCaps/>
            </w:rPr>
            <w:t>≈≈≈≈≈≈≈</w:t>
          </w:r>
        </w:p>
        <w:p w:rsidR="009D46AB" w:rsidRPr="00655156" w:rsidRDefault="009D46AB" w:rsidP="009D46AB">
          <w:pPr>
            <w:spacing w:after="0" w:line="240" w:lineRule="auto"/>
            <w:jc w:val="center"/>
            <w:rPr>
              <w:rFonts w:ascii="Montserrat Light" w:hAnsi="Montserrat Light"/>
              <w:b w:val="0"/>
            </w:rPr>
          </w:pPr>
          <w:r w:rsidRPr="00655156">
            <w:rPr>
              <w:rFonts w:ascii="Montserrat Light" w:hAnsi="Montserrat Light"/>
              <w:smallCaps/>
            </w:rPr>
            <w:t>Ministère du Plan et du Développement</w:t>
          </w:r>
        </w:p>
        <w:p w:rsidR="009D46AB" w:rsidRPr="00655156" w:rsidRDefault="009D46AB" w:rsidP="009D46AB">
          <w:pPr>
            <w:spacing w:after="0" w:line="240" w:lineRule="auto"/>
            <w:jc w:val="center"/>
            <w:rPr>
              <w:rFonts w:ascii="Montserrat Light" w:hAnsi="Montserrat Light"/>
              <w:b w:val="0"/>
              <w:smallCaps/>
            </w:rPr>
          </w:pPr>
          <w:r w:rsidRPr="00655156">
            <w:rPr>
              <w:rFonts w:ascii="Montserrat Light" w:hAnsi="Montserrat Light"/>
              <w:smallCaps/>
            </w:rPr>
            <w:t>≈≈≈≈≈≈≈</w:t>
          </w:r>
        </w:p>
        <w:p w:rsidR="009D46AB" w:rsidRPr="00655156" w:rsidRDefault="00B415B8" w:rsidP="009D46AB">
          <w:pPr>
            <w:spacing w:after="0" w:line="240" w:lineRule="auto"/>
            <w:jc w:val="center"/>
            <w:rPr>
              <w:rFonts w:ascii="Montserrat Light" w:hAnsi="Montserrat Light"/>
              <w:b w:val="0"/>
              <w:smallCaps/>
            </w:rPr>
          </w:pPr>
          <w:r>
            <w:rPr>
              <w:rFonts w:ascii="Montserrat Light" w:hAnsi="Montserrat Light"/>
              <w:smallCaps/>
            </w:rPr>
            <w:t xml:space="preserve">Institut </w:t>
          </w:r>
          <w:r w:rsidR="009D46AB" w:rsidRPr="00655156">
            <w:rPr>
              <w:rFonts w:ascii="Montserrat Light" w:hAnsi="Montserrat Light"/>
              <w:smallCaps/>
            </w:rPr>
            <w:t>National de la Statistique et de l’Analyse Economique</w:t>
          </w:r>
        </w:p>
        <w:p w:rsidR="009D46AB" w:rsidRPr="00655156" w:rsidRDefault="009D46AB" w:rsidP="009D46AB">
          <w:pPr>
            <w:spacing w:after="0" w:line="240" w:lineRule="auto"/>
            <w:jc w:val="center"/>
            <w:rPr>
              <w:rFonts w:ascii="Montserrat Light" w:hAnsi="Montserrat Light"/>
              <w:b w:val="0"/>
              <w:bCs/>
              <w:smallCaps/>
            </w:rPr>
          </w:pPr>
          <w:r w:rsidRPr="00655156">
            <w:rPr>
              <w:rFonts w:ascii="Montserrat Light" w:hAnsi="Montserrat Light"/>
              <w:smallCaps/>
            </w:rPr>
            <w:t>≈≈≈≈≈≈≈</w:t>
          </w:r>
        </w:p>
      </w:tc>
    </w:tr>
  </w:tbl>
  <w:p w:rsidR="009D46AB" w:rsidRDefault="009D46AB" w:rsidP="009D46AB">
    <w:pPr>
      <w:pStyle w:val="En-tte"/>
    </w:pPr>
  </w:p>
  <w:p w:rsidR="009D46AB" w:rsidRDefault="009D46A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68"/>
    <w:rsid w:val="000C644C"/>
    <w:rsid w:val="003872E2"/>
    <w:rsid w:val="007760DC"/>
    <w:rsid w:val="009321D0"/>
    <w:rsid w:val="009D46AB"/>
    <w:rsid w:val="00B415B8"/>
    <w:rsid w:val="00B850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597D"/>
  <w15:chartTrackingRefBased/>
  <w15:docId w15:val="{DE50CBB9-2024-43C6-9B2B-A187405D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68"/>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MCI1">
    <w:name w:val="EEMCI1"/>
    <w:basedOn w:val="Normal"/>
    <w:qFormat/>
    <w:rsid w:val="00B85068"/>
    <w:pPr>
      <w:spacing w:after="100" w:afterAutospacing="1" w:line="240" w:lineRule="auto"/>
      <w:jc w:val="center"/>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D46AB"/>
    <w:pPr>
      <w:tabs>
        <w:tab w:val="center" w:pos="4536"/>
        <w:tab w:val="right" w:pos="9072"/>
      </w:tabs>
      <w:spacing w:after="0" w:line="240" w:lineRule="auto"/>
    </w:pPr>
  </w:style>
  <w:style w:type="character" w:customStyle="1" w:styleId="En-tteCar">
    <w:name w:val="En-tête Car"/>
    <w:basedOn w:val="Policepardfaut"/>
    <w:link w:val="En-tte"/>
    <w:uiPriority w:val="99"/>
    <w:rsid w:val="009D46AB"/>
    <w:rPr>
      <w:rFonts w:ascii="Arial" w:hAnsi="Arial" w:cs="Arial"/>
      <w:b/>
      <w:sz w:val="20"/>
      <w:szCs w:val="20"/>
    </w:rPr>
  </w:style>
  <w:style w:type="paragraph" w:styleId="Pieddepage">
    <w:name w:val="footer"/>
    <w:basedOn w:val="Normal"/>
    <w:link w:val="PieddepageCar"/>
    <w:uiPriority w:val="99"/>
    <w:unhideWhenUsed/>
    <w:rsid w:val="009D4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6AB"/>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Eudes Ildevert CHOGNIKA</dc:creator>
  <cp:keywords/>
  <dc:description/>
  <cp:lastModifiedBy>Eudes Ildevert CHOGNIKA</cp:lastModifiedBy>
  <cp:revision>5</cp:revision>
  <dcterms:created xsi:type="dcterms:W3CDTF">2019-11-26T15:14:00Z</dcterms:created>
  <dcterms:modified xsi:type="dcterms:W3CDTF">2019-11-26T16:11:00Z</dcterms:modified>
</cp:coreProperties>
</file>