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Ind w:w="-432" w:type="dxa"/>
        <w:tblLook w:val="01E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InstitutNational de la  Statistique  et de  l’Analyse  Economique</w:t>
            </w:r>
          </w:p>
        </w:tc>
      </w:tr>
    </w:tbl>
    <w:p w:rsidR="007A2730" w:rsidRDefault="00EB07A7" w:rsidP="007F5C5D">
      <w:pPr>
        <w:tabs>
          <w:tab w:val="left" w:pos="2562"/>
        </w:tabs>
      </w:pPr>
      <w:r>
        <w:rPr>
          <w:noProof/>
          <w:lang w:eastAsia="fr-FR"/>
        </w:rPr>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">
            <v:textbox>
              <w:txbxContent>
                <w:p w:rsidR="00136ABB" w:rsidRPr="00262D3A" w:rsidRDefault="00136ABB"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136ABB" w:rsidRPr="00262D3A" w:rsidRDefault="00136ABB"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National-avril 2021</w:t>
                  </w:r>
                </w:p>
              </w:txbxContent>
            </v:textbox>
          </v:shape>
        </w:pict>
      </w:r>
    </w:p>
    <w:p w:rsidR="003671B8" w:rsidRDefault="003671B8" w:rsidP="007F5C5D">
      <w:pPr>
        <w:tabs>
          <w:tab w:val="left" w:pos="2562"/>
        </w:tabs>
      </w:pPr>
    </w:p>
    <w:p w:rsidR="003671B8" w:rsidRP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L’IHPC a pour population de référence l’ensemble des ménages africains du Bénin à travers cinq (05) grandes régions de production à savoir Sud Ouest (Littoral, Atlantique, Mono et Couffo), Sud Est (Ouémé-Plateau), Centre (Zou-Collines), Nord Est (Borgou-Alibori) et Nord Ouest (Atacora-Donga).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(EMICoV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BF01EA">
        <w:rPr>
          <w:rFonts w:ascii="Times New Roman" w:hAnsi="Times New Roman" w:cs="Times New Roman"/>
          <w:bCs/>
          <w:i/>
          <w:iCs/>
          <w:sz w:val="23"/>
          <w:szCs w:val="23"/>
        </w:rPr>
        <w:t>ion du mois d’avril 2021 est de 104</w:t>
      </w:r>
      <w:r w:rsidR="00530285">
        <w:rPr>
          <w:rFonts w:ascii="Times New Roman" w:hAnsi="Times New Roman" w:cs="Times New Roman"/>
          <w:bCs/>
          <w:i/>
          <w:iCs/>
          <w:sz w:val="23"/>
          <w:szCs w:val="23"/>
        </w:rPr>
        <w:t>,</w:t>
      </w:r>
      <w:r w:rsidR="00BF01EA">
        <w:rPr>
          <w:rFonts w:ascii="Times New Roman" w:hAnsi="Times New Roman" w:cs="Times New Roman"/>
          <w:bCs/>
          <w:i/>
          <w:iCs/>
          <w:sz w:val="23"/>
          <w:szCs w:val="23"/>
        </w:rPr>
        <w:t>3</w:t>
      </w:r>
      <w:r w:rsidR="00332968">
        <w:rPr>
          <w:rFonts w:ascii="Times New Roman" w:hAnsi="Times New Roman" w:cs="Times New Roman"/>
          <w:bCs/>
          <w:i/>
          <w:iCs/>
          <w:sz w:val="23"/>
          <w:szCs w:val="23"/>
        </w:rPr>
        <w:t>,</w:t>
      </w:r>
      <w:r w:rsidR="00BF01EA">
        <w:rPr>
          <w:rFonts w:ascii="Times New Roman" w:hAnsi="Times New Roman" w:cs="Times New Roman"/>
          <w:bCs/>
          <w:i/>
          <w:iCs/>
          <w:sz w:val="23"/>
          <w:szCs w:val="23"/>
        </w:rPr>
        <w:t xml:space="preserve"> contre 103,2 </w:t>
      </w:r>
      <w:r w:rsidRPr="00262D3A">
        <w:rPr>
          <w:rFonts w:ascii="Times New Roman" w:hAnsi="Times New Roman" w:cs="Times New Roman"/>
          <w:bCs/>
          <w:i/>
          <w:iCs/>
          <w:sz w:val="23"/>
          <w:szCs w:val="23"/>
        </w:rPr>
        <w:t xml:space="preserve">un mois plus tôt, soit une </w:t>
      </w:r>
      <w:r w:rsidR="008636B0">
        <w:rPr>
          <w:rFonts w:ascii="Times New Roman" w:hAnsi="Times New Roman" w:cs="Times New Roman"/>
          <w:bCs/>
          <w:i/>
          <w:iCs/>
          <w:sz w:val="23"/>
          <w:szCs w:val="23"/>
        </w:rPr>
        <w:t>hausse</w:t>
      </w:r>
      <w:r w:rsidRPr="00262D3A">
        <w:rPr>
          <w:rFonts w:ascii="Times New Roman" w:hAnsi="Times New Roman" w:cs="Times New Roman"/>
          <w:bCs/>
          <w:i/>
          <w:iCs/>
          <w:sz w:val="23"/>
          <w:szCs w:val="23"/>
        </w:rPr>
        <w:t xml:space="preserve"> de </w:t>
      </w:r>
      <w:r w:rsidR="00BF01EA">
        <w:rPr>
          <w:rFonts w:ascii="Times New Roman" w:hAnsi="Times New Roman" w:cs="Times New Roman"/>
          <w:b/>
          <w:bCs/>
          <w:i/>
          <w:iCs/>
          <w:sz w:val="23"/>
          <w:szCs w:val="23"/>
        </w:rPr>
        <w:t>1,1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3296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L’évolution mensuelle à la hausse de l’indice est imputable essentiellement au renchérissement</w:t>
      </w:r>
      <w:r w:rsidR="00C83454">
        <w:rPr>
          <w:rFonts w:ascii="Times New Roman" w:hAnsi="Times New Roman" w:cs="Times New Roman"/>
          <w:bCs/>
          <w:i/>
          <w:iCs/>
          <w:sz w:val="23"/>
          <w:szCs w:val="23"/>
        </w:rPr>
        <w:t xml:space="preserve"> des prix </w:t>
      </w:r>
      <w:r>
        <w:rPr>
          <w:rFonts w:ascii="Times New Roman" w:hAnsi="Times New Roman" w:cs="Times New Roman"/>
          <w:bCs/>
          <w:i/>
          <w:iCs/>
          <w:sz w:val="23"/>
          <w:szCs w:val="23"/>
        </w:rPr>
        <w:t xml:space="preserve">des biens </w:t>
      </w:r>
      <w:r w:rsidR="00BF01EA">
        <w:rPr>
          <w:rFonts w:ascii="Times New Roman" w:hAnsi="Times New Roman" w:cs="Times New Roman"/>
          <w:bCs/>
          <w:i/>
          <w:iCs/>
          <w:sz w:val="23"/>
          <w:szCs w:val="23"/>
        </w:rPr>
        <w:t xml:space="preserve">des </w:t>
      </w:r>
      <w:r w:rsidR="00C83454">
        <w:rPr>
          <w:rFonts w:ascii="Times New Roman" w:hAnsi="Times New Roman" w:cs="Times New Roman"/>
          <w:bCs/>
          <w:i/>
          <w:iCs/>
          <w:sz w:val="23"/>
          <w:szCs w:val="23"/>
        </w:rPr>
        <w:t xml:space="preserve"> fonction</w:t>
      </w:r>
      <w:r w:rsidR="00BF01EA">
        <w:rPr>
          <w:rFonts w:ascii="Times New Roman" w:hAnsi="Times New Roman" w:cs="Times New Roman"/>
          <w:bCs/>
          <w:i/>
          <w:iCs/>
          <w:sz w:val="23"/>
          <w:szCs w:val="23"/>
        </w:rPr>
        <w:t>s</w:t>
      </w:r>
      <w:r w:rsidR="00C83454">
        <w:rPr>
          <w:rFonts w:ascii="Times New Roman" w:hAnsi="Times New Roman" w:cs="Times New Roman"/>
          <w:bCs/>
          <w:i/>
          <w:iCs/>
          <w:sz w:val="23"/>
          <w:szCs w:val="23"/>
        </w:rPr>
        <w:t xml:space="preserve"> </w:t>
      </w:r>
      <w:r w:rsidR="003671B8" w:rsidRPr="00262D3A">
        <w:rPr>
          <w:rFonts w:ascii="Times New Roman" w:hAnsi="Times New Roman" w:cs="Times New Roman"/>
          <w:bCs/>
          <w:i/>
          <w:iCs/>
          <w:sz w:val="23"/>
          <w:szCs w:val="23"/>
        </w:rPr>
        <w:t>«</w:t>
      </w:r>
      <w:r w:rsidR="00BF01EA">
        <w:rPr>
          <w:rFonts w:ascii="Times New Roman" w:hAnsi="Times New Roman" w:cs="Times New Roman"/>
          <w:bCs/>
          <w:i/>
          <w:iCs/>
          <w:sz w:val="23"/>
          <w:szCs w:val="23"/>
        </w:rPr>
        <w:t xml:space="preserve"> </w:t>
      </w:r>
      <w:r w:rsidR="00C83454" w:rsidRPr="00C83454">
        <w:rPr>
          <w:rFonts w:ascii="Times New Roman" w:hAnsi="Times New Roman" w:cs="Times New Roman"/>
          <w:bCs/>
          <w:i/>
          <w:iCs/>
          <w:sz w:val="23"/>
          <w:szCs w:val="23"/>
        </w:rPr>
        <w:t>Produits alimentaires et boissons non alcoolisées</w:t>
      </w:r>
      <w:r w:rsidR="00530285" w:rsidRPr="00C83454">
        <w:rPr>
          <w:rFonts w:ascii="Times New Roman" w:hAnsi="Times New Roman" w:cs="Times New Roman"/>
          <w:bCs/>
          <w:i/>
          <w:iCs/>
          <w:sz w:val="23"/>
          <w:szCs w:val="23"/>
        </w:rPr>
        <w:t> »</w:t>
      </w:r>
      <w:r w:rsidR="00BF01EA">
        <w:rPr>
          <w:rFonts w:ascii="Times New Roman" w:hAnsi="Times New Roman" w:cs="Times New Roman"/>
          <w:b/>
          <w:bCs/>
          <w:i/>
          <w:iCs/>
          <w:sz w:val="23"/>
          <w:szCs w:val="23"/>
        </w:rPr>
        <w:t xml:space="preserve"> (+2,3</w:t>
      </w:r>
      <w:r w:rsidR="003671B8" w:rsidRPr="00262D3A">
        <w:rPr>
          <w:rFonts w:ascii="Times New Roman" w:hAnsi="Times New Roman" w:cs="Times New Roman"/>
          <w:b/>
          <w:bCs/>
          <w:i/>
          <w:iCs/>
          <w:sz w:val="23"/>
          <w:szCs w:val="23"/>
        </w:rPr>
        <w:t>%</w:t>
      </w:r>
      <w:r w:rsidR="00C83454">
        <w:rPr>
          <w:rFonts w:ascii="Times New Roman" w:hAnsi="Times New Roman" w:cs="Times New Roman"/>
          <w:b/>
          <w:bCs/>
          <w:i/>
          <w:iCs/>
          <w:sz w:val="23"/>
          <w:szCs w:val="23"/>
        </w:rPr>
        <w:t>)</w:t>
      </w:r>
      <w:r w:rsidR="00BF01EA">
        <w:rPr>
          <w:rFonts w:ascii="Times New Roman" w:hAnsi="Times New Roman" w:cs="Times New Roman"/>
          <w:b/>
          <w:bCs/>
          <w:i/>
          <w:iCs/>
          <w:sz w:val="23"/>
          <w:szCs w:val="23"/>
        </w:rPr>
        <w:t xml:space="preserve"> </w:t>
      </w:r>
      <w:r w:rsidR="00BF01EA" w:rsidRPr="00BF01EA">
        <w:rPr>
          <w:rFonts w:ascii="Times New Roman" w:hAnsi="Times New Roman" w:cs="Times New Roman"/>
          <w:bCs/>
          <w:i/>
          <w:iCs/>
          <w:sz w:val="23"/>
          <w:szCs w:val="23"/>
        </w:rPr>
        <w:t>et</w:t>
      </w:r>
      <w:r w:rsidR="00BF01EA">
        <w:rPr>
          <w:rFonts w:ascii="Times New Roman" w:hAnsi="Times New Roman" w:cs="Times New Roman"/>
          <w:b/>
          <w:bCs/>
          <w:i/>
          <w:iCs/>
          <w:sz w:val="23"/>
          <w:szCs w:val="23"/>
        </w:rPr>
        <w:t xml:space="preserve"> </w:t>
      </w:r>
      <w:r w:rsidR="00BF01EA" w:rsidRPr="00262D3A">
        <w:rPr>
          <w:rFonts w:ascii="Times New Roman" w:hAnsi="Times New Roman" w:cs="Times New Roman"/>
          <w:bCs/>
          <w:i/>
          <w:iCs/>
          <w:sz w:val="23"/>
          <w:szCs w:val="23"/>
        </w:rPr>
        <w:t>«</w:t>
      </w:r>
      <w:r w:rsidR="00BF01EA">
        <w:rPr>
          <w:rFonts w:ascii="Times New Roman" w:hAnsi="Times New Roman" w:cs="Times New Roman"/>
          <w:bCs/>
          <w:i/>
          <w:iCs/>
          <w:sz w:val="23"/>
          <w:szCs w:val="23"/>
        </w:rPr>
        <w:t xml:space="preserve"> Transports</w:t>
      </w:r>
      <w:r w:rsidR="00BF01EA" w:rsidRPr="00C83454">
        <w:rPr>
          <w:rFonts w:ascii="Times New Roman" w:hAnsi="Times New Roman" w:cs="Times New Roman"/>
          <w:bCs/>
          <w:i/>
          <w:iCs/>
          <w:sz w:val="23"/>
          <w:szCs w:val="23"/>
        </w:rPr>
        <w:t> »</w:t>
      </w:r>
      <w:r w:rsidR="00BF01EA">
        <w:rPr>
          <w:rFonts w:ascii="Times New Roman" w:hAnsi="Times New Roman" w:cs="Times New Roman"/>
          <w:b/>
          <w:bCs/>
          <w:i/>
          <w:iCs/>
          <w:sz w:val="23"/>
          <w:szCs w:val="23"/>
        </w:rPr>
        <w:t xml:space="preserve"> (+1,0</w:t>
      </w:r>
      <w:r w:rsidR="00BF01EA" w:rsidRPr="00262D3A">
        <w:rPr>
          <w:rFonts w:ascii="Times New Roman" w:hAnsi="Times New Roman" w:cs="Times New Roman"/>
          <w:b/>
          <w:bCs/>
          <w:i/>
          <w:iCs/>
          <w:sz w:val="23"/>
          <w:szCs w:val="23"/>
        </w:rPr>
        <w:t>%</w:t>
      </w:r>
      <w:r w:rsidR="00BF01EA">
        <w:rPr>
          <w:rFonts w:ascii="Times New Roman" w:hAnsi="Times New Roman" w:cs="Times New Roman"/>
          <w:b/>
          <w:bCs/>
          <w:i/>
          <w:iCs/>
          <w:sz w:val="23"/>
          <w:szCs w:val="23"/>
        </w:rPr>
        <w:t>)</w:t>
      </w:r>
      <w:r w:rsidR="0040497C" w:rsidRPr="0040497C">
        <w:rPr>
          <w:rFonts w:ascii="Times New Roman" w:hAnsi="Times New Roman" w:cs="Times New Roman"/>
          <w:bCs/>
          <w:i/>
          <w:iCs/>
          <w:sz w:val="23"/>
          <w:szCs w:val="23"/>
        </w:rPr>
        <w:t>.</w:t>
      </w:r>
    </w:p>
    <w:p w:rsidR="003671B8" w:rsidRPr="00262D3A" w:rsidRDefault="0029450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Les groupes de biens et services</w:t>
      </w:r>
      <w:r w:rsidR="003671B8" w:rsidRPr="00262D3A">
        <w:rPr>
          <w:rFonts w:ascii="Times New Roman" w:hAnsi="Times New Roman" w:cs="Times New Roman"/>
          <w:bCs/>
          <w:i/>
          <w:iCs/>
          <w:sz w:val="23"/>
          <w:szCs w:val="23"/>
        </w:rPr>
        <w:t xml:space="preserve"> dont les prix ont contribué à cette </w:t>
      </w:r>
      <w:r w:rsidR="00EB1632">
        <w:rPr>
          <w:rFonts w:ascii="Times New Roman" w:hAnsi="Times New Roman" w:cs="Times New Roman"/>
          <w:bCs/>
          <w:i/>
          <w:iCs/>
          <w:sz w:val="23"/>
          <w:szCs w:val="23"/>
        </w:rPr>
        <w:t>hausse</w:t>
      </w:r>
      <w:r w:rsidR="003671B8" w:rsidRPr="00262D3A">
        <w:rPr>
          <w:rFonts w:ascii="Times New Roman" w:hAnsi="Times New Roman" w:cs="Times New Roman"/>
          <w:bCs/>
          <w:i/>
          <w:iCs/>
          <w:sz w:val="23"/>
          <w:szCs w:val="23"/>
        </w:rPr>
        <w:t xml:space="preserve"> sont :</w:t>
      </w:r>
    </w:p>
    <w:p w:rsidR="00015224" w:rsidRDefault="00015224" w:rsidP="00770D05">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Autres fruits frais » </w:t>
      </w:r>
      <w:r>
        <w:rPr>
          <w:rFonts w:ascii="Times New Roman" w:hAnsi="Times New Roman" w:cs="Times New Roman"/>
          <w:b/>
          <w:bCs/>
          <w:i/>
          <w:iCs/>
          <w:sz w:val="23"/>
          <w:szCs w:val="23"/>
        </w:rPr>
        <w:t>(+16,1</w:t>
      </w:r>
      <w:r w:rsidRPr="00017FDB">
        <w:rPr>
          <w:rFonts w:ascii="Times New Roman" w:hAnsi="Times New Roman" w:cs="Times New Roman"/>
          <w:b/>
          <w:bCs/>
          <w:i/>
          <w:iCs/>
          <w:sz w:val="23"/>
          <w:szCs w:val="23"/>
        </w:rPr>
        <w:t>%</w:t>
      </w:r>
      <w:r>
        <w:rPr>
          <w:rFonts w:ascii="Times New Roman" w:hAnsi="Times New Roman" w:cs="Times New Roman"/>
          <w:b/>
          <w:bCs/>
          <w:i/>
          <w:iCs/>
          <w:sz w:val="23"/>
          <w:szCs w:val="23"/>
        </w:rPr>
        <w:t>)</w:t>
      </w:r>
      <w:r w:rsidRPr="00017FDB">
        <w:rPr>
          <w:rFonts w:ascii="Times New Roman" w:hAnsi="Times New Roman" w:cs="Times New Roman"/>
          <w:bCs/>
          <w:iCs/>
          <w:sz w:val="23"/>
          <w:szCs w:val="23"/>
        </w:rPr>
        <w:t>,</w:t>
      </w:r>
      <w:r>
        <w:rPr>
          <w:rFonts w:ascii="Times New Roman" w:hAnsi="Times New Roman" w:cs="Times New Roman"/>
          <w:bCs/>
          <w:iCs/>
          <w:sz w:val="23"/>
          <w:szCs w:val="23"/>
        </w:rPr>
        <w:t xml:space="preserve"> </w:t>
      </w:r>
      <w:r>
        <w:rPr>
          <w:rFonts w:ascii="Times New Roman" w:hAnsi="Times New Roman" w:cs="Times New Roman"/>
          <w:bCs/>
          <w:i/>
          <w:iCs/>
          <w:sz w:val="23"/>
          <w:szCs w:val="23"/>
        </w:rPr>
        <w:t xml:space="preserve">à cause des spéculations sur les prix de la banane douce, de l’ananas frais et de la </w:t>
      </w:r>
      <w:r w:rsidR="00C15E77">
        <w:rPr>
          <w:rFonts w:ascii="Times New Roman" w:hAnsi="Times New Roman" w:cs="Times New Roman"/>
          <w:bCs/>
          <w:i/>
          <w:iCs/>
          <w:sz w:val="23"/>
          <w:szCs w:val="23"/>
        </w:rPr>
        <w:t xml:space="preserve">pomme fruit en période de </w:t>
      </w:r>
      <w:r w:rsidR="00394056">
        <w:rPr>
          <w:rFonts w:ascii="Times New Roman" w:hAnsi="Times New Roman" w:cs="Times New Roman"/>
          <w:bCs/>
          <w:i/>
          <w:iCs/>
          <w:sz w:val="23"/>
          <w:szCs w:val="23"/>
        </w:rPr>
        <w:t>jeû</w:t>
      </w:r>
      <w:r w:rsidR="00C15E77">
        <w:rPr>
          <w:rFonts w:ascii="Times New Roman" w:hAnsi="Times New Roman" w:cs="Times New Roman"/>
          <w:bCs/>
          <w:i/>
          <w:iCs/>
          <w:sz w:val="23"/>
          <w:szCs w:val="23"/>
        </w:rPr>
        <w:t>ne du mois de Ramadan</w:t>
      </w:r>
      <w:r>
        <w:rPr>
          <w:rFonts w:ascii="Times New Roman" w:hAnsi="Times New Roman" w:cs="Times New Roman"/>
          <w:bCs/>
          <w:i/>
          <w:iCs/>
          <w:sz w:val="23"/>
          <w:szCs w:val="23"/>
        </w:rPr>
        <w:t xml:space="preserve"> ; </w:t>
      </w:r>
    </w:p>
    <w:p w:rsidR="00C15A3B" w:rsidRPr="00C15A3B" w:rsidRDefault="00C15A3B" w:rsidP="00C15A3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Pr="00017FDB">
        <w:rPr>
          <w:rFonts w:ascii="Times New Roman" w:hAnsi="Times New Roman" w:cs="Times New Roman"/>
          <w:bCs/>
          <w:i/>
          <w:iCs/>
          <w:sz w:val="23"/>
          <w:szCs w:val="23"/>
        </w:rPr>
        <w:t>Légumes frais en fruits ou racine</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(+7,3</w:t>
      </w:r>
      <w:r w:rsidRPr="00262D3A">
        <w:rPr>
          <w:rFonts w:ascii="Times New Roman" w:hAnsi="Times New Roman" w:cs="Times New Roman"/>
          <w:b/>
          <w:bCs/>
          <w:i/>
          <w:iCs/>
          <w:sz w:val="23"/>
          <w:szCs w:val="23"/>
        </w:rPr>
        <w:t>%)</w:t>
      </w:r>
      <w:r>
        <w:rPr>
          <w:rFonts w:ascii="Times New Roman" w:hAnsi="Times New Roman" w:cs="Times New Roman"/>
          <w:bCs/>
          <w:i/>
          <w:iCs/>
          <w:sz w:val="23"/>
          <w:szCs w:val="23"/>
        </w:rPr>
        <w:t>, due à la rareté de la tomate fraîche locale et des fortes spéculations sur celles importées des pays voisins ;</w:t>
      </w:r>
    </w:p>
    <w:p w:rsidR="00C15A3B" w:rsidRPr="00C15A3B" w:rsidRDefault="00C15A3B" w:rsidP="00C15A3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Tubercules et plantain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(+6,5</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en lien avec</w:t>
      </w:r>
      <w:r w:rsidRPr="007D17BA">
        <w:rPr>
          <w:rFonts w:ascii="Times New Roman" w:hAnsi="Times New Roman" w:cs="Times New Roman"/>
          <w:bCs/>
          <w:i/>
          <w:iCs/>
          <w:sz w:val="23"/>
          <w:szCs w:val="23"/>
        </w:rPr>
        <w:t xml:space="preserve"> </w:t>
      </w:r>
      <w:r>
        <w:rPr>
          <w:rFonts w:ascii="Times New Roman" w:hAnsi="Times New Roman" w:cs="Times New Roman"/>
          <w:bCs/>
          <w:i/>
          <w:iCs/>
          <w:sz w:val="23"/>
          <w:szCs w:val="23"/>
        </w:rPr>
        <w:t>la hausse des prix de l’igname et de la banane plantain pour raison de saisonnalité ;</w:t>
      </w:r>
    </w:p>
    <w:p w:rsidR="00770D05" w:rsidRPr="00770D05" w:rsidRDefault="00770D05" w:rsidP="00770D05">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w:t>
      </w:r>
      <w:r w:rsidRPr="00017FDB">
        <w:rPr>
          <w:rFonts w:ascii="Times New Roman" w:hAnsi="Times New Roman" w:cs="Times New Roman"/>
          <w:bCs/>
          <w:i/>
          <w:iCs/>
          <w:sz w:val="23"/>
          <w:szCs w:val="23"/>
        </w:rPr>
        <w:t>Légumes secs et oléagineux</w:t>
      </w:r>
      <w:r>
        <w:rPr>
          <w:rFonts w:ascii="Times New Roman" w:hAnsi="Times New Roman" w:cs="Times New Roman"/>
          <w:bCs/>
          <w:i/>
          <w:iCs/>
          <w:sz w:val="23"/>
          <w:szCs w:val="23"/>
        </w:rPr>
        <w:t xml:space="preserve"> » </w:t>
      </w:r>
      <w:r w:rsidR="00015224">
        <w:rPr>
          <w:rFonts w:ascii="Times New Roman" w:hAnsi="Times New Roman" w:cs="Times New Roman"/>
          <w:b/>
          <w:bCs/>
          <w:i/>
          <w:iCs/>
          <w:sz w:val="23"/>
          <w:szCs w:val="23"/>
        </w:rPr>
        <w:t>(+4,7</w:t>
      </w:r>
      <w:r w:rsidRPr="00017FDB">
        <w:rPr>
          <w:rFonts w:ascii="Times New Roman" w:hAnsi="Times New Roman" w:cs="Times New Roman"/>
          <w:b/>
          <w:bCs/>
          <w:i/>
          <w:iCs/>
          <w:sz w:val="23"/>
          <w:szCs w:val="23"/>
        </w:rPr>
        <w:t>%</w:t>
      </w:r>
      <w:r>
        <w:rPr>
          <w:rFonts w:ascii="Times New Roman" w:hAnsi="Times New Roman" w:cs="Times New Roman"/>
          <w:b/>
          <w:bCs/>
          <w:i/>
          <w:iCs/>
          <w:sz w:val="23"/>
          <w:szCs w:val="23"/>
        </w:rPr>
        <w:t>)</w:t>
      </w:r>
      <w:r w:rsidRPr="00017FDB">
        <w:rPr>
          <w:rFonts w:ascii="Times New Roman" w:hAnsi="Times New Roman" w:cs="Times New Roman"/>
          <w:bCs/>
          <w:iCs/>
          <w:sz w:val="23"/>
          <w:szCs w:val="23"/>
        </w:rPr>
        <w:t>,</w:t>
      </w:r>
      <w:r w:rsidR="00015224">
        <w:rPr>
          <w:rFonts w:ascii="Times New Roman" w:hAnsi="Times New Roman" w:cs="Times New Roman"/>
          <w:bCs/>
          <w:iCs/>
          <w:sz w:val="23"/>
          <w:szCs w:val="23"/>
        </w:rPr>
        <w:t xml:space="preserve"> </w:t>
      </w:r>
      <w:r w:rsidRPr="003D3CEE">
        <w:rPr>
          <w:rFonts w:ascii="Times New Roman" w:hAnsi="Times New Roman" w:cs="Times New Roman"/>
          <w:bCs/>
          <w:i/>
          <w:iCs/>
          <w:sz w:val="23"/>
          <w:szCs w:val="23"/>
        </w:rPr>
        <w:t>en raison de la rareté des denrées telles que le haricot et cassoulet sur le marché </w:t>
      </w:r>
      <w:r>
        <w:rPr>
          <w:rFonts w:ascii="Times New Roman" w:hAnsi="Times New Roman" w:cs="Times New Roman"/>
          <w:bCs/>
          <w:i/>
          <w:iCs/>
          <w:sz w:val="23"/>
          <w:szCs w:val="23"/>
        </w:rPr>
        <w:t xml:space="preserve">liée à la saisonnalité </w:t>
      </w:r>
      <w:r w:rsidRPr="003D3CEE">
        <w:rPr>
          <w:rFonts w:ascii="Times New Roman" w:hAnsi="Times New Roman" w:cs="Times New Roman"/>
          <w:bCs/>
          <w:i/>
          <w:iCs/>
          <w:sz w:val="23"/>
          <w:szCs w:val="23"/>
        </w:rPr>
        <w:t>;</w:t>
      </w:r>
    </w:p>
    <w:p w:rsidR="003D3CEE" w:rsidRDefault="00C15A3B" w:rsidP="00DA066E">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w:t>
      </w:r>
      <w:r w:rsidR="003D3CEE">
        <w:rPr>
          <w:rFonts w:ascii="Times New Roman" w:hAnsi="Times New Roman" w:cs="Times New Roman"/>
          <w:bCs/>
          <w:i/>
          <w:iCs/>
          <w:sz w:val="23"/>
          <w:szCs w:val="23"/>
        </w:rPr>
        <w:t>« </w:t>
      </w:r>
      <w:r w:rsidR="003D3CEE" w:rsidRPr="003D3CEE">
        <w:rPr>
          <w:rFonts w:ascii="Times New Roman" w:hAnsi="Times New Roman" w:cs="Times New Roman"/>
          <w:bCs/>
          <w:i/>
          <w:iCs/>
          <w:sz w:val="23"/>
          <w:szCs w:val="23"/>
        </w:rPr>
        <w:t>Céréales non transformées</w:t>
      </w:r>
      <w:r w:rsidR="003D3CEE">
        <w:rPr>
          <w:rFonts w:ascii="Times New Roman" w:hAnsi="Times New Roman" w:cs="Times New Roman"/>
          <w:bCs/>
          <w:i/>
          <w:iCs/>
          <w:sz w:val="23"/>
          <w:szCs w:val="23"/>
        </w:rPr>
        <w:t xml:space="preserve"> » </w:t>
      </w:r>
      <w:r w:rsidR="00015224">
        <w:rPr>
          <w:rFonts w:ascii="Times New Roman" w:hAnsi="Times New Roman" w:cs="Times New Roman"/>
          <w:b/>
          <w:bCs/>
          <w:i/>
          <w:iCs/>
          <w:sz w:val="23"/>
          <w:szCs w:val="23"/>
        </w:rPr>
        <w:t>(+3,4</w:t>
      </w:r>
      <w:r w:rsidR="003D3CEE" w:rsidRPr="003D3CEE">
        <w:rPr>
          <w:rFonts w:ascii="Times New Roman" w:hAnsi="Times New Roman" w:cs="Times New Roman"/>
          <w:b/>
          <w:bCs/>
          <w:i/>
          <w:iCs/>
          <w:sz w:val="23"/>
          <w:szCs w:val="23"/>
        </w:rPr>
        <w:t>%)</w:t>
      </w:r>
      <w:r w:rsidR="00015224" w:rsidRPr="003D3CEE">
        <w:rPr>
          <w:rFonts w:ascii="Times New Roman" w:hAnsi="Times New Roman" w:cs="Times New Roman"/>
          <w:bCs/>
          <w:i/>
          <w:iCs/>
          <w:sz w:val="23"/>
          <w:szCs w:val="23"/>
        </w:rPr>
        <w:t>,</w:t>
      </w:r>
      <w:r w:rsidR="00015224">
        <w:rPr>
          <w:rFonts w:ascii="Times New Roman" w:hAnsi="Times New Roman" w:cs="Times New Roman"/>
          <w:bCs/>
          <w:i/>
          <w:iCs/>
          <w:sz w:val="23"/>
          <w:szCs w:val="23"/>
        </w:rPr>
        <w:t xml:space="preserve"> liée</w:t>
      </w:r>
      <w:r w:rsidR="00332968">
        <w:rPr>
          <w:rFonts w:ascii="Times New Roman" w:hAnsi="Times New Roman" w:cs="Times New Roman"/>
          <w:bCs/>
          <w:i/>
          <w:iCs/>
          <w:sz w:val="23"/>
          <w:szCs w:val="23"/>
        </w:rPr>
        <w:t xml:space="preserve"> à l’augmentation</w:t>
      </w:r>
      <w:r w:rsidR="003D3CEE">
        <w:rPr>
          <w:rFonts w:ascii="Times New Roman" w:hAnsi="Times New Roman" w:cs="Times New Roman"/>
          <w:bCs/>
          <w:i/>
          <w:iCs/>
          <w:sz w:val="23"/>
          <w:szCs w:val="23"/>
        </w:rPr>
        <w:t xml:space="preserve"> des prix du maïs séché pour raison de saisonnalité ;</w:t>
      </w:r>
    </w:p>
    <w:p w:rsidR="00721CA6" w:rsidRDefault="00721CA6" w:rsidP="00721CA6">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Combustibles solides » </w:t>
      </w:r>
      <w:r>
        <w:rPr>
          <w:rFonts w:ascii="Times New Roman" w:hAnsi="Times New Roman" w:cs="Times New Roman"/>
          <w:b/>
          <w:bCs/>
          <w:i/>
          <w:iCs/>
          <w:sz w:val="23"/>
          <w:szCs w:val="23"/>
        </w:rPr>
        <w:t>(+3,0%)</w:t>
      </w:r>
      <w:r>
        <w:rPr>
          <w:rFonts w:ascii="Times New Roman" w:hAnsi="Times New Roman" w:cs="Times New Roman"/>
          <w:bCs/>
          <w:i/>
          <w:iCs/>
          <w:sz w:val="23"/>
          <w:szCs w:val="23"/>
        </w:rPr>
        <w:t xml:space="preserve">, </w:t>
      </w:r>
      <w:r w:rsidR="00C15A3B">
        <w:rPr>
          <w:rFonts w:ascii="Times New Roman" w:hAnsi="Times New Roman" w:cs="Times New Roman"/>
          <w:bCs/>
          <w:i/>
          <w:iCs/>
          <w:sz w:val="23"/>
          <w:szCs w:val="23"/>
        </w:rPr>
        <w:t xml:space="preserve">due à </w:t>
      </w:r>
      <w:r>
        <w:rPr>
          <w:rFonts w:ascii="Times New Roman" w:hAnsi="Times New Roman" w:cs="Times New Roman"/>
          <w:bCs/>
          <w:i/>
          <w:iCs/>
          <w:sz w:val="23"/>
          <w:szCs w:val="23"/>
        </w:rPr>
        <w:t>une baisse de l’offre dans les marchés ;</w:t>
      </w:r>
    </w:p>
    <w:p w:rsidR="00721CA6" w:rsidRDefault="009A19C1" w:rsidP="00770D05">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Carburants et lubrifiants » </w:t>
      </w:r>
      <w:r>
        <w:rPr>
          <w:rFonts w:ascii="Times New Roman" w:hAnsi="Times New Roman" w:cs="Times New Roman"/>
          <w:b/>
          <w:bCs/>
          <w:i/>
          <w:iCs/>
          <w:sz w:val="23"/>
          <w:szCs w:val="23"/>
        </w:rPr>
        <w:t>(+</w:t>
      </w:r>
      <w:r w:rsidR="00F069C9">
        <w:rPr>
          <w:rFonts w:ascii="Times New Roman" w:hAnsi="Times New Roman" w:cs="Times New Roman"/>
          <w:b/>
          <w:bCs/>
          <w:i/>
          <w:iCs/>
          <w:sz w:val="23"/>
          <w:szCs w:val="23"/>
        </w:rPr>
        <w:t>1,9</w:t>
      </w:r>
      <w:r>
        <w:rPr>
          <w:rFonts w:ascii="Times New Roman" w:hAnsi="Times New Roman" w:cs="Times New Roman"/>
          <w:b/>
          <w:bCs/>
          <w:i/>
          <w:iCs/>
          <w:sz w:val="23"/>
          <w:szCs w:val="23"/>
        </w:rPr>
        <w:t>%)</w:t>
      </w:r>
      <w:r>
        <w:rPr>
          <w:rFonts w:ascii="Times New Roman" w:hAnsi="Times New Roman" w:cs="Times New Roman"/>
          <w:bCs/>
          <w:i/>
          <w:iCs/>
          <w:sz w:val="23"/>
          <w:szCs w:val="23"/>
        </w:rPr>
        <w:t>,</w:t>
      </w:r>
      <w:r w:rsidR="00A86877">
        <w:rPr>
          <w:rFonts w:ascii="Times New Roman" w:hAnsi="Times New Roman" w:cs="Times New Roman"/>
          <w:bCs/>
          <w:i/>
          <w:iCs/>
          <w:sz w:val="23"/>
          <w:szCs w:val="23"/>
        </w:rPr>
        <w:t xml:space="preserve"> </w:t>
      </w:r>
      <w:r w:rsidR="00C15A3B">
        <w:rPr>
          <w:rFonts w:ascii="Times New Roman" w:hAnsi="Times New Roman" w:cs="Times New Roman"/>
          <w:bCs/>
          <w:i/>
          <w:iCs/>
          <w:sz w:val="23"/>
          <w:szCs w:val="23"/>
        </w:rPr>
        <w:t>à cause des</w:t>
      </w:r>
      <w:r w:rsidR="00A86877">
        <w:rPr>
          <w:rFonts w:ascii="Times New Roman" w:hAnsi="Times New Roman" w:cs="Times New Roman"/>
          <w:bCs/>
          <w:i/>
          <w:iCs/>
          <w:sz w:val="23"/>
          <w:szCs w:val="23"/>
        </w:rPr>
        <w:t xml:space="preserve"> difficultés d’approvisionnent de l’essence kpayo au Nigéria au cours de la période électorale au Bénin.</w:t>
      </w:r>
    </w:p>
    <w:p w:rsidR="00A86877" w:rsidRPr="00A86877" w:rsidRDefault="00A86877" w:rsidP="00A86877">
      <w:pPr>
        <w:spacing w:line="312" w:lineRule="auto"/>
        <w:ind w:left="567"/>
        <w:jc w:val="both"/>
        <w:rPr>
          <w:rFonts w:ascii="Times New Roman" w:hAnsi="Times New Roman" w:cs="Times New Roman"/>
          <w:bCs/>
          <w:i/>
          <w:iCs/>
          <w:sz w:val="16"/>
          <w:szCs w:val="1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222F57">
        <w:rPr>
          <w:rFonts w:ascii="Times New Roman" w:hAnsi="Times New Roman" w:cs="Times New Roman"/>
          <w:bCs/>
          <w:i/>
          <w:iCs/>
          <w:sz w:val="23"/>
          <w:szCs w:val="23"/>
        </w:rPr>
        <w:t>avril</w:t>
      </w:r>
      <w:r w:rsidR="009A47B7">
        <w:rPr>
          <w:rFonts w:ascii="Times New Roman" w:hAnsi="Times New Roman" w:cs="Times New Roman"/>
          <w:bCs/>
          <w:i/>
          <w:iCs/>
          <w:sz w:val="23"/>
          <w:szCs w:val="23"/>
        </w:rPr>
        <w:t xml:space="preserve"> 2020</w:t>
      </w:r>
      <w:r w:rsidRPr="00262D3A">
        <w:rPr>
          <w:rFonts w:ascii="Times New Roman" w:hAnsi="Times New Roman" w:cs="Times New Roman"/>
          <w:bCs/>
          <w:i/>
          <w:iCs/>
          <w:sz w:val="23"/>
          <w:szCs w:val="23"/>
        </w:rPr>
        <w:t xml:space="preserve">, la variation de l’IHPC est de </w:t>
      </w:r>
      <w:r w:rsidR="00C15A3B">
        <w:rPr>
          <w:rFonts w:ascii="Times New Roman" w:hAnsi="Times New Roman" w:cs="Times New Roman"/>
          <w:b/>
          <w:bCs/>
          <w:i/>
          <w:iCs/>
          <w:sz w:val="23"/>
          <w:szCs w:val="23"/>
        </w:rPr>
        <w:t>+</w:t>
      </w:r>
      <w:r w:rsidR="0034156F">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Pr="00E61568">
        <w:rPr>
          <w:rFonts w:ascii="Times New Roman" w:hAnsi="Times New Roman" w:cs="Times New Roman"/>
          <w:bCs/>
          <w:i/>
          <w:iCs/>
          <w:sz w:val="23"/>
          <w:szCs w:val="23"/>
        </w:rPr>
        <w:t>,</w:t>
      </w:r>
      <w:r w:rsidRPr="00262D3A">
        <w:rPr>
          <w:rFonts w:ascii="Times New Roman" w:hAnsi="Times New Roman" w:cs="Times New Roman"/>
          <w:bCs/>
          <w:i/>
          <w:iCs/>
          <w:sz w:val="23"/>
          <w:szCs w:val="23"/>
        </w:rPr>
        <w:t xml:space="preserve"> contre </w:t>
      </w:r>
      <w:r w:rsidR="00C15A3B">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00C15A3B">
        <w:rPr>
          <w:rFonts w:ascii="Times New Roman" w:hAnsi="Times New Roman" w:cs="Times New Roman"/>
          <w:b/>
          <w:bCs/>
          <w:i/>
          <w:iCs/>
          <w:sz w:val="23"/>
          <w:szCs w:val="23"/>
        </w:rPr>
        <w:t xml:space="preserve"> </w:t>
      </w:r>
      <w:r w:rsidR="00332968">
        <w:rPr>
          <w:rFonts w:ascii="Times New Roman" w:hAnsi="Times New Roman" w:cs="Times New Roman"/>
          <w:bCs/>
          <w:i/>
          <w:iCs/>
          <w:sz w:val="23"/>
          <w:szCs w:val="23"/>
        </w:rPr>
        <w:t>un mois plus tôt.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w:t>
      </w:r>
      <w:r w:rsidR="00955E41">
        <w:rPr>
          <w:rFonts w:ascii="Times New Roman" w:hAnsi="Times New Roman" w:cs="Times New Roman"/>
          <w:bCs/>
          <w:i/>
          <w:iCs/>
          <w:sz w:val="23"/>
          <w:szCs w:val="23"/>
        </w:rPr>
        <w:t xml:space="preserve">apport à la nature des produits </w:t>
      </w:r>
      <w:r w:rsidRPr="00262D3A">
        <w:rPr>
          <w:rFonts w:ascii="Times New Roman" w:hAnsi="Times New Roman" w:cs="Times New Roman"/>
          <w:bCs/>
          <w:i/>
          <w:iCs/>
          <w:sz w:val="23"/>
          <w:szCs w:val="23"/>
        </w:rPr>
        <w:t>:</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w:t>
      </w:r>
      <w:r w:rsidR="00F95652">
        <w:rPr>
          <w:rFonts w:ascii="Times New Roman" w:hAnsi="Times New Roman" w:cs="Times New Roman"/>
          <w:bCs/>
          <w:i/>
          <w:iCs/>
          <w:sz w:val="23"/>
          <w:szCs w:val="23"/>
        </w:rPr>
        <w:t xml:space="preserve"> « produits frais »</w:t>
      </w:r>
      <w:r w:rsidR="00136ABB">
        <w:rPr>
          <w:rFonts w:ascii="Times New Roman" w:hAnsi="Times New Roman" w:cs="Times New Roman"/>
          <w:bCs/>
          <w:i/>
          <w:iCs/>
          <w:sz w:val="23"/>
          <w:szCs w:val="23"/>
        </w:rPr>
        <w:t xml:space="preserve">, des </w:t>
      </w:r>
      <w:r w:rsidR="00136ABB" w:rsidRPr="00262D3A">
        <w:rPr>
          <w:rFonts w:ascii="Times New Roman" w:hAnsi="Times New Roman" w:cs="Times New Roman"/>
          <w:bCs/>
          <w:i/>
          <w:iCs/>
          <w:sz w:val="23"/>
          <w:szCs w:val="23"/>
        </w:rPr>
        <w:t>« produits énergétiques »</w:t>
      </w:r>
      <w:r w:rsidR="00136ABB">
        <w:rPr>
          <w:rFonts w:ascii="Times New Roman" w:hAnsi="Times New Roman" w:cs="Times New Roman"/>
          <w:bCs/>
          <w:i/>
          <w:iCs/>
          <w:sz w:val="23"/>
          <w:szCs w:val="23"/>
        </w:rPr>
        <w:t xml:space="preserve"> et ceux </w:t>
      </w:r>
      <w:r w:rsidR="00F95652">
        <w:rPr>
          <w:rFonts w:ascii="Times New Roman" w:hAnsi="Times New Roman" w:cs="Times New Roman"/>
          <w:bCs/>
          <w:i/>
          <w:iCs/>
          <w:sz w:val="23"/>
          <w:szCs w:val="23"/>
        </w:rPr>
        <w:t xml:space="preserve">des </w:t>
      </w:r>
      <w:r w:rsidR="00F95652" w:rsidRPr="00262D3A">
        <w:rPr>
          <w:rFonts w:ascii="Times New Roman" w:hAnsi="Times New Roman" w:cs="Times New Roman"/>
          <w:bCs/>
          <w:i/>
          <w:iCs/>
          <w:sz w:val="23"/>
          <w:szCs w:val="23"/>
        </w:rPr>
        <w:t xml:space="preserve">« hors produits frais et hors énergie » </w:t>
      </w:r>
      <w:r w:rsidR="00F95652">
        <w:rPr>
          <w:rFonts w:ascii="Times New Roman" w:hAnsi="Times New Roman" w:cs="Times New Roman"/>
          <w:bCs/>
          <w:i/>
          <w:iCs/>
          <w:sz w:val="23"/>
          <w:szCs w:val="23"/>
        </w:rPr>
        <w:t xml:space="preserve">ont cru respectivement de </w:t>
      </w:r>
      <w:r w:rsidR="00136ABB">
        <w:rPr>
          <w:rFonts w:ascii="Times New Roman" w:hAnsi="Times New Roman" w:cs="Times New Roman"/>
          <w:b/>
          <w:bCs/>
          <w:i/>
          <w:iCs/>
          <w:sz w:val="23"/>
          <w:szCs w:val="23"/>
        </w:rPr>
        <w:t>2,2</w:t>
      </w:r>
      <w:r w:rsidR="00F95652" w:rsidRPr="00F95652">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w:t>
      </w:r>
      <w:r w:rsidR="00F95652">
        <w:rPr>
          <w:rFonts w:ascii="Times New Roman" w:hAnsi="Times New Roman" w:cs="Times New Roman"/>
          <w:bCs/>
          <w:i/>
          <w:iCs/>
          <w:sz w:val="23"/>
          <w:szCs w:val="23"/>
        </w:rPr>
        <w:t xml:space="preserve">de </w:t>
      </w:r>
      <w:r w:rsidR="005B289E">
        <w:rPr>
          <w:rFonts w:ascii="Times New Roman" w:hAnsi="Times New Roman" w:cs="Times New Roman"/>
          <w:b/>
          <w:bCs/>
          <w:i/>
          <w:iCs/>
          <w:sz w:val="23"/>
          <w:szCs w:val="23"/>
        </w:rPr>
        <w:t>1,4</w:t>
      </w:r>
      <w:r w:rsidR="00F95652" w:rsidRPr="00F95652">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et de </w:t>
      </w:r>
      <w:r w:rsidR="005B289E" w:rsidRPr="005B289E">
        <w:rPr>
          <w:rFonts w:ascii="Times New Roman" w:hAnsi="Times New Roman" w:cs="Times New Roman"/>
          <w:b/>
          <w:bCs/>
          <w:i/>
          <w:iCs/>
          <w:sz w:val="23"/>
          <w:szCs w:val="23"/>
        </w:rPr>
        <w:t>0,4%</w:t>
      </w:r>
      <w:r w:rsidR="005B289E">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p>
    <w:p w:rsidR="00DC45BA" w:rsidRPr="004A7351" w:rsidRDefault="003671B8" w:rsidP="00DC45BA">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lastRenderedPageBreak/>
        <w:t xml:space="preserve">en glissement annuel, </w:t>
      </w:r>
      <w:r w:rsidR="009615E2" w:rsidRPr="00262D3A">
        <w:rPr>
          <w:rFonts w:ascii="Times New Roman" w:hAnsi="Times New Roman" w:cs="Times New Roman"/>
          <w:bCs/>
          <w:i/>
          <w:iCs/>
          <w:sz w:val="23"/>
          <w:szCs w:val="23"/>
        </w:rPr>
        <w:t>les prix des</w:t>
      </w:r>
      <w:r w:rsidR="006F2DDD">
        <w:rPr>
          <w:rFonts w:ascii="Times New Roman" w:hAnsi="Times New Roman" w:cs="Times New Roman"/>
          <w:bCs/>
          <w:i/>
          <w:iCs/>
          <w:sz w:val="23"/>
          <w:szCs w:val="23"/>
        </w:rPr>
        <w:t xml:space="preserve"> « produits frais »</w:t>
      </w:r>
      <w:r w:rsidR="005B289E">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et </w:t>
      </w:r>
      <w:r w:rsidR="005B289E">
        <w:rPr>
          <w:rFonts w:ascii="Times New Roman" w:hAnsi="Times New Roman" w:cs="Times New Roman"/>
          <w:bCs/>
          <w:i/>
          <w:iCs/>
          <w:sz w:val="23"/>
          <w:szCs w:val="23"/>
        </w:rPr>
        <w:t xml:space="preserve">des « </w:t>
      </w:r>
      <w:r w:rsidR="005B289E" w:rsidRPr="00262D3A">
        <w:rPr>
          <w:rFonts w:ascii="Times New Roman" w:hAnsi="Times New Roman" w:cs="Times New Roman"/>
          <w:bCs/>
          <w:i/>
          <w:iCs/>
          <w:sz w:val="23"/>
          <w:szCs w:val="23"/>
        </w:rPr>
        <w:t>hors produits frais et hors énergie </w:t>
      </w:r>
      <w:r w:rsidR="005B289E">
        <w:rPr>
          <w:rFonts w:ascii="Times New Roman" w:hAnsi="Times New Roman" w:cs="Times New Roman"/>
          <w:bCs/>
          <w:i/>
          <w:iCs/>
          <w:sz w:val="23"/>
          <w:szCs w:val="23"/>
        </w:rPr>
        <w:t xml:space="preserve">» ont augmenté respectivement de </w:t>
      </w:r>
      <w:r w:rsidR="005B289E" w:rsidRPr="005B289E">
        <w:rPr>
          <w:rFonts w:ascii="Times New Roman" w:hAnsi="Times New Roman" w:cs="Times New Roman"/>
          <w:b/>
          <w:bCs/>
          <w:i/>
          <w:iCs/>
          <w:sz w:val="23"/>
          <w:szCs w:val="23"/>
        </w:rPr>
        <w:t>0,3%</w:t>
      </w:r>
      <w:r w:rsidR="005B289E">
        <w:rPr>
          <w:rFonts w:ascii="Times New Roman" w:hAnsi="Times New Roman" w:cs="Times New Roman"/>
          <w:bCs/>
          <w:i/>
          <w:iCs/>
          <w:sz w:val="23"/>
          <w:szCs w:val="23"/>
        </w:rPr>
        <w:t xml:space="preserve"> et de </w:t>
      </w:r>
      <w:r w:rsidR="005B289E" w:rsidRPr="005B289E">
        <w:rPr>
          <w:rFonts w:ascii="Times New Roman" w:hAnsi="Times New Roman" w:cs="Times New Roman"/>
          <w:b/>
          <w:bCs/>
          <w:i/>
          <w:iCs/>
          <w:sz w:val="23"/>
          <w:szCs w:val="23"/>
        </w:rPr>
        <w:t xml:space="preserve">1,0% </w:t>
      </w:r>
      <w:r w:rsidR="005B289E" w:rsidRPr="005B289E">
        <w:rPr>
          <w:rFonts w:ascii="Times New Roman" w:hAnsi="Times New Roman" w:cs="Times New Roman"/>
          <w:bCs/>
          <w:i/>
          <w:iCs/>
          <w:sz w:val="23"/>
          <w:szCs w:val="23"/>
        </w:rPr>
        <w:t>alors que ceux</w:t>
      </w:r>
      <w:r w:rsidR="005B289E">
        <w:rPr>
          <w:rFonts w:ascii="Times New Roman" w:hAnsi="Times New Roman" w:cs="Times New Roman"/>
          <w:b/>
          <w:bCs/>
          <w:i/>
          <w:iCs/>
          <w:sz w:val="23"/>
          <w:szCs w:val="23"/>
        </w:rPr>
        <w:t xml:space="preserve"> </w:t>
      </w:r>
      <w:r w:rsidR="00F35A3C">
        <w:rPr>
          <w:rFonts w:ascii="Times New Roman" w:hAnsi="Times New Roman" w:cs="Times New Roman"/>
          <w:bCs/>
          <w:i/>
          <w:iCs/>
          <w:sz w:val="23"/>
          <w:szCs w:val="23"/>
        </w:rPr>
        <w:t xml:space="preserve">« produits énergétiques »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diminué</w:t>
      </w:r>
      <w:r w:rsidR="005B289E">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xml:space="preserve">de </w:t>
      </w:r>
      <w:r w:rsidR="005B289E">
        <w:rPr>
          <w:rFonts w:ascii="Times New Roman" w:hAnsi="Times New Roman" w:cs="Times New Roman"/>
          <w:b/>
          <w:bCs/>
          <w:i/>
          <w:iCs/>
          <w:sz w:val="23"/>
          <w:szCs w:val="23"/>
        </w:rPr>
        <w:t>6,1</w:t>
      </w:r>
      <w:r w:rsidR="009615E2" w:rsidRPr="00262D3A">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0C45BD">
        <w:rPr>
          <w:rFonts w:ascii="Times New Roman" w:hAnsi="Times New Roman" w:cs="Times New Roman"/>
          <w:bCs/>
          <w:i/>
          <w:iCs/>
          <w:sz w:val="23"/>
          <w:szCs w:val="23"/>
        </w:rPr>
        <w:t xml:space="preserve"> de même que ceux des « produits locaux »  ont </w:t>
      </w:r>
      <w:r w:rsidR="005B289E">
        <w:rPr>
          <w:rFonts w:ascii="Times New Roman" w:hAnsi="Times New Roman" w:cs="Times New Roman"/>
          <w:bCs/>
          <w:i/>
          <w:iCs/>
          <w:sz w:val="23"/>
          <w:szCs w:val="23"/>
        </w:rPr>
        <w:t>cru</w:t>
      </w:r>
      <w:r w:rsidR="000C45BD">
        <w:rPr>
          <w:rFonts w:ascii="Times New Roman" w:hAnsi="Times New Roman" w:cs="Times New Roman"/>
          <w:bCs/>
          <w:i/>
          <w:iCs/>
          <w:sz w:val="23"/>
          <w:szCs w:val="23"/>
        </w:rPr>
        <w:t xml:space="preserve"> respectivement de </w:t>
      </w:r>
      <w:r w:rsidR="000C45BD">
        <w:rPr>
          <w:rFonts w:ascii="Times New Roman" w:hAnsi="Times New Roman" w:cs="Times New Roman"/>
          <w:b/>
          <w:bCs/>
          <w:i/>
          <w:iCs/>
          <w:sz w:val="23"/>
          <w:szCs w:val="23"/>
        </w:rPr>
        <w:t>0,2</w:t>
      </w:r>
      <w:r w:rsidR="000C45BD" w:rsidRPr="00262D3A">
        <w:rPr>
          <w:rFonts w:ascii="Times New Roman" w:hAnsi="Times New Roman" w:cs="Times New Roman"/>
          <w:b/>
          <w:bCs/>
          <w:i/>
          <w:iCs/>
          <w:sz w:val="23"/>
          <w:szCs w:val="23"/>
        </w:rPr>
        <w:t>%</w:t>
      </w:r>
      <w:r w:rsidR="005B289E">
        <w:rPr>
          <w:rFonts w:ascii="Times New Roman" w:hAnsi="Times New Roman" w:cs="Times New Roman"/>
          <w:b/>
          <w:bCs/>
          <w:i/>
          <w:iCs/>
          <w:sz w:val="23"/>
          <w:szCs w:val="23"/>
        </w:rPr>
        <w:t xml:space="preserve"> </w:t>
      </w:r>
      <w:r w:rsidR="000C45BD" w:rsidRPr="000C45BD">
        <w:rPr>
          <w:rFonts w:ascii="Times New Roman" w:hAnsi="Times New Roman" w:cs="Times New Roman"/>
          <w:bCs/>
          <w:i/>
          <w:iCs/>
          <w:sz w:val="23"/>
          <w:szCs w:val="23"/>
        </w:rPr>
        <w:t xml:space="preserve">et </w:t>
      </w:r>
      <w:r w:rsidR="000C45BD">
        <w:rPr>
          <w:rFonts w:ascii="Times New Roman" w:hAnsi="Times New Roman" w:cs="Times New Roman"/>
          <w:bCs/>
          <w:i/>
          <w:iCs/>
          <w:sz w:val="23"/>
          <w:szCs w:val="23"/>
        </w:rPr>
        <w:t xml:space="preserve">de </w:t>
      </w:r>
      <w:r w:rsidR="005B289E">
        <w:rPr>
          <w:rFonts w:ascii="Times New Roman" w:hAnsi="Times New Roman" w:cs="Times New Roman"/>
          <w:b/>
          <w:bCs/>
          <w:i/>
          <w:iCs/>
          <w:sz w:val="23"/>
          <w:szCs w:val="23"/>
        </w:rPr>
        <w:t>1,3</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w:t>
      </w:r>
      <w:r w:rsidR="00955E41" w:rsidRPr="00262D3A">
        <w:rPr>
          <w:rFonts w:ascii="Times New Roman" w:hAnsi="Times New Roman" w:cs="Times New Roman"/>
          <w:bCs/>
          <w:i/>
          <w:iCs/>
          <w:sz w:val="23"/>
          <w:szCs w:val="23"/>
        </w:rPr>
        <w:t>« produits importés »</w:t>
      </w:r>
      <w:r w:rsidR="005B289E">
        <w:rPr>
          <w:rFonts w:ascii="Times New Roman" w:hAnsi="Times New Roman" w:cs="Times New Roman"/>
          <w:bCs/>
          <w:i/>
          <w:iCs/>
          <w:sz w:val="23"/>
          <w:szCs w:val="23"/>
        </w:rPr>
        <w:t xml:space="preserve"> </w:t>
      </w:r>
      <w:r w:rsidR="000C45BD">
        <w:rPr>
          <w:rFonts w:ascii="Times New Roman" w:hAnsi="Times New Roman" w:cs="Times New Roman"/>
          <w:bCs/>
          <w:i/>
          <w:iCs/>
          <w:sz w:val="23"/>
          <w:szCs w:val="23"/>
        </w:rPr>
        <w:t xml:space="preserve">ont diminué de </w:t>
      </w:r>
      <w:r w:rsidR="005B289E">
        <w:rPr>
          <w:rFonts w:ascii="Times New Roman" w:hAnsi="Times New Roman" w:cs="Times New Roman"/>
          <w:b/>
          <w:bCs/>
          <w:i/>
          <w:iCs/>
          <w:sz w:val="23"/>
          <w:szCs w:val="23"/>
        </w:rPr>
        <w:t>0,1</w:t>
      </w:r>
      <w:r w:rsidR="000C45BD" w:rsidRPr="00262D3A">
        <w:rPr>
          <w:rFonts w:ascii="Times New Roman" w:hAnsi="Times New Roman" w:cs="Times New Roman"/>
          <w:b/>
          <w:bCs/>
          <w:i/>
          <w:iCs/>
          <w:sz w:val="23"/>
          <w:szCs w:val="23"/>
        </w:rPr>
        <w:t>%</w:t>
      </w:r>
      <w:r w:rsidR="000C45BD" w:rsidRPr="000C45BD">
        <w:rPr>
          <w:rFonts w:ascii="Times New Roman" w:hAnsi="Times New Roman" w:cs="Times New Roman"/>
          <w:bCs/>
          <w:i/>
          <w:iCs/>
          <w:sz w:val="23"/>
          <w:szCs w:val="23"/>
        </w:rPr>
        <w:t>.</w:t>
      </w:r>
      <w:r w:rsidR="005B289E">
        <w:rPr>
          <w:rFonts w:ascii="Times New Roman" w:hAnsi="Times New Roman" w:cs="Times New Roman"/>
          <w:bCs/>
          <w:i/>
          <w:iCs/>
          <w:sz w:val="23"/>
          <w:szCs w:val="23"/>
        </w:rPr>
        <w:t xml:space="preserve"> </w:t>
      </w:r>
      <w:r w:rsidR="000C45BD" w:rsidRPr="000C45BD">
        <w:rPr>
          <w:rFonts w:ascii="Times New Roman" w:hAnsi="Times New Roman" w:cs="Times New Roman"/>
          <w:bCs/>
          <w:i/>
          <w:iCs/>
          <w:sz w:val="23"/>
          <w:szCs w:val="23"/>
        </w:rPr>
        <w:t>Il est ainsi de même pour</w:t>
      </w:r>
      <w:r w:rsidR="005B289E">
        <w:rPr>
          <w:rFonts w:ascii="Times New Roman" w:hAnsi="Times New Roman" w:cs="Times New Roman"/>
          <w:bCs/>
          <w:i/>
          <w:iCs/>
          <w:sz w:val="23"/>
          <w:szCs w:val="23"/>
        </w:rPr>
        <w:t xml:space="preserve"> </w:t>
      </w:r>
      <w:r w:rsidR="000C45BD">
        <w:rPr>
          <w:rFonts w:ascii="Times New Roman" w:hAnsi="Times New Roman" w:cs="Times New Roman"/>
          <w:bCs/>
          <w:i/>
          <w:iCs/>
          <w:sz w:val="23"/>
          <w:szCs w:val="23"/>
        </w:rPr>
        <w:t>les prix des</w:t>
      </w:r>
      <w:r w:rsidR="00955E41">
        <w:rPr>
          <w:rFonts w:ascii="Times New Roman" w:hAnsi="Times New Roman" w:cs="Times New Roman"/>
          <w:bCs/>
          <w:i/>
          <w:iCs/>
          <w:sz w:val="23"/>
          <w:szCs w:val="23"/>
        </w:rPr>
        <w:t xml:space="preserve"> « produits locaux » </w:t>
      </w:r>
      <w:r w:rsidR="000C45BD">
        <w:rPr>
          <w:rFonts w:ascii="Times New Roman" w:hAnsi="Times New Roman" w:cs="Times New Roman"/>
          <w:bCs/>
          <w:i/>
          <w:iCs/>
          <w:sz w:val="23"/>
          <w:szCs w:val="23"/>
        </w:rPr>
        <w:t>qui ont baissé de</w:t>
      </w:r>
      <w:r w:rsidR="005B289E">
        <w:rPr>
          <w:rFonts w:ascii="Times New Roman" w:hAnsi="Times New Roman" w:cs="Times New Roman"/>
          <w:b/>
          <w:bCs/>
          <w:i/>
          <w:iCs/>
          <w:sz w:val="23"/>
          <w:szCs w:val="23"/>
        </w:rPr>
        <w:t xml:space="preserve"> 0,2</w:t>
      </w:r>
      <w:r w:rsidR="00955E41"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2"/>
      </w:r>
    </w:p>
    <w:p w:rsidR="00E731F6" w:rsidRDefault="00E731F6" w:rsidP="00E731F6">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sidR="00C0481C">
        <w:rPr>
          <w:rFonts w:ascii="Times New Roman" w:hAnsi="Times New Roman" w:cs="Times New Roman"/>
          <w:bCs/>
          <w:i/>
          <w:iCs/>
          <w:sz w:val="23"/>
          <w:szCs w:val="23"/>
        </w:rPr>
        <w:t xml:space="preserve">ional au titre du mois d’avril </w:t>
      </w:r>
      <w:r>
        <w:rPr>
          <w:rFonts w:ascii="Times New Roman" w:hAnsi="Times New Roman" w:cs="Times New Roman"/>
          <w:bCs/>
          <w:i/>
          <w:iCs/>
          <w:sz w:val="23"/>
          <w:szCs w:val="23"/>
        </w:rPr>
        <w:t>2021</w:t>
      </w:r>
      <w:r w:rsidRPr="00262D3A">
        <w:rPr>
          <w:rFonts w:ascii="Times New Roman" w:hAnsi="Times New Roman" w:cs="Times New Roman"/>
          <w:bCs/>
          <w:i/>
          <w:iCs/>
          <w:sz w:val="23"/>
          <w:szCs w:val="23"/>
        </w:rPr>
        <w:t xml:space="preserve">, suivant la définition adoptée dans l’espace UEMOA, est </w:t>
      </w:r>
      <w:r>
        <w:rPr>
          <w:rFonts w:ascii="Times New Roman" w:hAnsi="Times New Roman" w:cs="Times New Roman"/>
          <w:bCs/>
          <w:i/>
          <w:iCs/>
          <w:sz w:val="23"/>
          <w:szCs w:val="23"/>
        </w:rPr>
        <w:t>ressorti à</w:t>
      </w:r>
      <w:r w:rsidR="00C0481C">
        <w:rPr>
          <w:rFonts w:ascii="Times New Roman" w:hAnsi="Times New Roman" w:cs="Times New Roman"/>
          <w:bCs/>
          <w:i/>
          <w:iCs/>
          <w:sz w:val="23"/>
          <w:szCs w:val="23"/>
        </w:rPr>
        <w:t xml:space="preserve"> </w:t>
      </w:r>
      <w:r w:rsidR="00C0481C">
        <w:rPr>
          <w:rFonts w:ascii="Times New Roman" w:hAnsi="Times New Roman" w:cs="Times New Roman"/>
          <w:b/>
          <w:bCs/>
          <w:i/>
          <w:iCs/>
          <w:sz w:val="23"/>
          <w:szCs w:val="23"/>
        </w:rPr>
        <w:t>+2,0</w:t>
      </w:r>
      <w:r w:rsidRPr="00262D3A">
        <w:rPr>
          <w:rFonts w:ascii="Times New Roman" w:hAnsi="Times New Roman" w:cs="Times New Roman"/>
          <w:b/>
          <w:bCs/>
          <w:i/>
          <w:iCs/>
          <w:sz w:val="23"/>
          <w:szCs w:val="23"/>
        </w:rPr>
        <w:t>%</w:t>
      </w:r>
      <w:r w:rsidRPr="00280942">
        <w:rPr>
          <w:rFonts w:ascii="Times New Roman" w:hAnsi="Times New Roman" w:cs="Times New Roman"/>
          <w:bCs/>
          <w:i/>
          <w:iCs/>
          <w:sz w:val="23"/>
          <w:szCs w:val="23"/>
        </w:rPr>
        <w:t>.</w:t>
      </w:r>
      <w:r w:rsidR="00416C85" w:rsidRPr="00416C85">
        <w:rPr>
          <w:rFonts w:ascii="Times New Roman" w:hAnsi="Times New Roman" w:cs="Times New Roman"/>
          <w:bCs/>
          <w:i/>
          <w:iCs/>
          <w:sz w:val="23"/>
          <w:szCs w:val="23"/>
        </w:rPr>
        <w:t xml:space="preserve">Ce niveau bien que positif </w:t>
      </w:r>
      <w:r w:rsidR="00416C85">
        <w:rPr>
          <w:rFonts w:ascii="Times New Roman" w:hAnsi="Times New Roman" w:cs="Times New Roman"/>
          <w:bCs/>
          <w:i/>
          <w:iCs/>
          <w:sz w:val="23"/>
          <w:szCs w:val="23"/>
        </w:rPr>
        <w:t>est</w:t>
      </w:r>
      <w:r w:rsidR="00416C85" w:rsidRPr="00416C85">
        <w:rPr>
          <w:rFonts w:ascii="Times New Roman" w:hAnsi="Times New Roman" w:cs="Times New Roman"/>
          <w:bCs/>
          <w:i/>
          <w:iCs/>
          <w:sz w:val="23"/>
          <w:szCs w:val="23"/>
        </w:rPr>
        <w:t xml:space="preserve">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FC5523">
        <w:rPr>
          <w:rFonts w:ascii="Times New Roman" w:hAnsi="Times New Roman"/>
          <w:b/>
          <w:color w:val="auto"/>
          <w:sz w:val="24"/>
          <w:szCs w:val="24"/>
        </w:rPr>
        <w:t>Consommation du mois d’avril</w:t>
      </w:r>
      <w:r w:rsidR="0030459A">
        <w:rPr>
          <w:rFonts w:ascii="Times New Roman" w:hAnsi="Times New Roman"/>
          <w:b/>
          <w:color w:val="auto"/>
          <w:sz w:val="24"/>
          <w:szCs w:val="24"/>
        </w:rPr>
        <w:t xml:space="preserve"> 2021</w:t>
      </w:r>
    </w:p>
    <w:tbl>
      <w:tblPr>
        <w:tblW w:w="10384" w:type="dxa"/>
        <w:tblLayout w:type="fixed"/>
        <w:tblCellMar>
          <w:left w:w="70" w:type="dxa"/>
          <w:right w:w="70" w:type="dxa"/>
        </w:tblCellMar>
        <w:tblLook w:val="04A0"/>
      </w:tblPr>
      <w:tblGrid>
        <w:gridCol w:w="3567"/>
        <w:gridCol w:w="590"/>
        <w:gridCol w:w="760"/>
        <w:gridCol w:w="780"/>
        <w:gridCol w:w="824"/>
        <w:gridCol w:w="745"/>
        <w:gridCol w:w="842"/>
        <w:gridCol w:w="30"/>
        <w:gridCol w:w="185"/>
        <w:gridCol w:w="532"/>
        <w:gridCol w:w="8"/>
        <w:gridCol w:w="644"/>
        <w:gridCol w:w="19"/>
        <w:gridCol w:w="850"/>
        <w:gridCol w:w="8"/>
      </w:tblGrid>
      <w:tr w:rsidR="003671B8" w:rsidRPr="0042781F" w:rsidTr="00443B27">
        <w:trPr>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166" w:type="dxa"/>
            <w:gridSpan w:val="7"/>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061" w:type="dxa"/>
            <w:gridSpan w:val="6"/>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443B27">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BA3597" w:rsidP="003671B8">
            <w:pPr>
              <w:jc w:val="center"/>
              <w:rPr>
                <w:rFonts w:ascii="Times New Roman" w:hAnsi="Times New Roman" w:cs="Times New Roman"/>
                <w:b/>
                <w:bCs/>
                <w:sz w:val="18"/>
                <w:szCs w:val="18"/>
              </w:rPr>
            </w:pPr>
            <w:r>
              <w:rPr>
                <w:rFonts w:ascii="Times New Roman" w:hAnsi="Times New Roman" w:cs="Times New Roman"/>
                <w:b/>
                <w:bCs/>
                <w:sz w:val="18"/>
                <w:szCs w:val="18"/>
              </w:rPr>
              <w:t>avr.-</w:t>
            </w:r>
            <w:r w:rsidR="003C343B">
              <w:rPr>
                <w:rFonts w:ascii="Times New Roman" w:hAnsi="Times New Roman" w:cs="Times New Roman"/>
                <w:b/>
                <w:bCs/>
                <w:sz w:val="18"/>
                <w:szCs w:val="18"/>
              </w:rPr>
              <w:t>20</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745" w:type="dxa"/>
            <w:vMerge w:val="restart"/>
            <w:tcBorders>
              <w:top w:val="nil"/>
              <w:left w:val="nil"/>
              <w:bottom w:val="nil"/>
              <w:right w:val="nil"/>
            </w:tcBorders>
            <w:shd w:val="clear" w:color="000000" w:fill="00FFFF"/>
            <w:vAlign w:val="bottom"/>
            <w:hideMark/>
          </w:tcPr>
          <w:p w:rsidR="003671B8" w:rsidRPr="0042781F" w:rsidRDefault="004D533D" w:rsidP="003671B8">
            <w:pPr>
              <w:jc w:val="center"/>
              <w:rPr>
                <w:rFonts w:ascii="Times New Roman" w:hAnsi="Times New Roman" w:cs="Times New Roman"/>
                <w:b/>
                <w:bCs/>
                <w:sz w:val="18"/>
                <w:szCs w:val="18"/>
              </w:rPr>
            </w:pPr>
            <w:r>
              <w:rPr>
                <w:rFonts w:ascii="Times New Roman" w:hAnsi="Times New Roman" w:cs="Times New Roman"/>
                <w:b/>
                <w:bCs/>
                <w:sz w:val="18"/>
                <w:szCs w:val="18"/>
              </w:rPr>
              <w:t>mar.</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872" w:type="dxa"/>
            <w:gridSpan w:val="2"/>
            <w:vMerge w:val="restart"/>
            <w:tcBorders>
              <w:top w:val="nil"/>
              <w:left w:val="nil"/>
              <w:bottom w:val="nil"/>
              <w:right w:val="nil"/>
            </w:tcBorders>
            <w:shd w:val="clear" w:color="000000" w:fill="00FFFF"/>
            <w:vAlign w:val="bottom"/>
            <w:hideMark/>
          </w:tcPr>
          <w:p w:rsidR="003671B8" w:rsidRPr="0042781F" w:rsidRDefault="004D533D" w:rsidP="003671B8">
            <w:pPr>
              <w:jc w:val="center"/>
              <w:rPr>
                <w:rFonts w:ascii="Times New Roman" w:hAnsi="Times New Roman" w:cs="Times New Roman"/>
                <w:b/>
                <w:bCs/>
                <w:sz w:val="18"/>
                <w:szCs w:val="18"/>
              </w:rPr>
            </w:pPr>
            <w:r>
              <w:rPr>
                <w:rFonts w:ascii="Times New Roman" w:hAnsi="Times New Roman" w:cs="Times New Roman"/>
                <w:b/>
                <w:bCs/>
                <w:sz w:val="18"/>
                <w:szCs w:val="18"/>
              </w:rPr>
              <w:t>avr.-21</w:t>
            </w:r>
          </w:p>
        </w:tc>
        <w:tc>
          <w:tcPr>
            <w:tcW w:w="725"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877"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443B27">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4D533D" w:rsidP="003671B8">
            <w:pPr>
              <w:jc w:val="center"/>
              <w:rPr>
                <w:rFonts w:ascii="Times New Roman" w:hAnsi="Times New Roman" w:cs="Times New Roman"/>
                <w:b/>
                <w:bCs/>
                <w:sz w:val="18"/>
                <w:szCs w:val="18"/>
              </w:rPr>
            </w:pPr>
            <w:r>
              <w:rPr>
                <w:rFonts w:ascii="Times New Roman" w:hAnsi="Times New Roman" w:cs="Times New Roman"/>
                <w:b/>
                <w:bCs/>
                <w:sz w:val="18"/>
                <w:szCs w:val="18"/>
              </w:rPr>
              <w:t>janv.</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824" w:type="dxa"/>
            <w:tcBorders>
              <w:top w:val="nil"/>
              <w:left w:val="nil"/>
              <w:bottom w:val="nil"/>
              <w:right w:val="nil"/>
            </w:tcBorders>
            <w:shd w:val="clear" w:color="000000" w:fill="00FFFF"/>
            <w:vAlign w:val="bottom"/>
            <w:hideMark/>
          </w:tcPr>
          <w:p w:rsidR="003671B8" w:rsidRPr="0042781F" w:rsidRDefault="004D533D" w:rsidP="003671B8">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745"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2"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5"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7"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BA3597" w:rsidRPr="0042781F" w:rsidTr="00443B27">
        <w:trPr>
          <w:gridAfter w:val="1"/>
          <w:wAfter w:w="8" w:type="dxa"/>
          <w:trHeight w:val="495"/>
        </w:trPr>
        <w:tc>
          <w:tcPr>
            <w:tcW w:w="3567" w:type="dxa"/>
            <w:tcBorders>
              <w:top w:val="nil"/>
              <w:left w:val="nil"/>
              <w:bottom w:val="nil"/>
              <w:right w:val="nil"/>
            </w:tcBorders>
            <w:shd w:val="clear" w:color="auto" w:fill="auto"/>
            <w:vAlign w:val="bottom"/>
            <w:hideMark/>
          </w:tcPr>
          <w:p w:rsidR="00BA3597" w:rsidRPr="0042781F" w:rsidRDefault="00BA3597"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103,8</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102,3</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103,2</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104,3</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1,1%</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2,0%</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0,5%</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101,2</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101,0</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103,6</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106,0</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2,3%</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4,7%</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2,9%</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106,3</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106,6</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109,0</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107,4</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106,8</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0,2%</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0,5%</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105,9</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108,1</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108,5</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108,3</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108,7</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0,4%</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2,6%</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103,6</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98,3</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97,7</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97,4</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98,0</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-0,3%</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-5,4%</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106,8</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106,5</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107,3</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106,7</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106,9</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0,2%</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0,4%</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0,1%</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101,9</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102,4</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102,3</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102,4</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102,4</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0,5%</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107,3</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104,6</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105,1</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105,0</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106,1</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1,4%</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-1,1%</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99,7</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99,5</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99,5</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99,1</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99,1</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-0,4%</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101,6</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101,6</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101,9</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101,7</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101,9</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0,2%</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0,3%</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0,3%</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102,7</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r>
      <w:tr w:rsidR="00BA3597"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103,6</w:t>
            </w:r>
          </w:p>
        </w:tc>
        <w:tc>
          <w:tcPr>
            <w:tcW w:w="780"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102,9</w:t>
            </w:r>
          </w:p>
        </w:tc>
        <w:tc>
          <w:tcPr>
            <w:tcW w:w="824"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102,9</w:t>
            </w:r>
          </w:p>
        </w:tc>
        <w:tc>
          <w:tcPr>
            <w:tcW w:w="745"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842" w:type="dxa"/>
            <w:tcBorders>
              <w:top w:val="nil"/>
              <w:left w:val="nil"/>
              <w:bottom w:val="nil"/>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103,0</w:t>
            </w:r>
          </w:p>
        </w:tc>
        <w:tc>
          <w:tcPr>
            <w:tcW w:w="747" w:type="dxa"/>
            <w:gridSpan w:val="3"/>
            <w:tcBorders>
              <w:top w:val="nil"/>
              <w:left w:val="nil"/>
              <w:bottom w:val="nil"/>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r>
      <w:tr w:rsidR="00BA3597" w:rsidRPr="0042781F" w:rsidTr="00443B27">
        <w:trPr>
          <w:gridAfter w:val="1"/>
          <w:wAfter w:w="8" w:type="dxa"/>
          <w:trHeight w:val="315"/>
        </w:trPr>
        <w:tc>
          <w:tcPr>
            <w:tcW w:w="3567" w:type="dxa"/>
            <w:tcBorders>
              <w:top w:val="nil"/>
              <w:left w:val="nil"/>
              <w:bottom w:val="double" w:sz="6" w:space="0" w:color="auto"/>
              <w:right w:val="nil"/>
            </w:tcBorders>
            <w:shd w:val="clear" w:color="auto" w:fill="auto"/>
            <w:noWrap/>
            <w:vAlign w:val="bottom"/>
            <w:hideMark/>
          </w:tcPr>
          <w:p w:rsidR="00BA3597" w:rsidRPr="0042781F" w:rsidRDefault="00BA3597"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BA3597" w:rsidRPr="0042781F" w:rsidRDefault="00BA3597"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105,9</w:t>
            </w:r>
          </w:p>
        </w:tc>
        <w:tc>
          <w:tcPr>
            <w:tcW w:w="780" w:type="dxa"/>
            <w:tcBorders>
              <w:top w:val="nil"/>
              <w:left w:val="nil"/>
              <w:bottom w:val="double" w:sz="6" w:space="0" w:color="auto"/>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106,7</w:t>
            </w:r>
          </w:p>
        </w:tc>
        <w:tc>
          <w:tcPr>
            <w:tcW w:w="824" w:type="dxa"/>
            <w:tcBorders>
              <w:top w:val="nil"/>
              <w:left w:val="nil"/>
              <w:bottom w:val="double" w:sz="6" w:space="0" w:color="auto"/>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107,3</w:t>
            </w:r>
          </w:p>
        </w:tc>
        <w:tc>
          <w:tcPr>
            <w:tcW w:w="745" w:type="dxa"/>
            <w:tcBorders>
              <w:top w:val="nil"/>
              <w:left w:val="nil"/>
              <w:bottom w:val="double" w:sz="6" w:space="0" w:color="auto"/>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106,5</w:t>
            </w:r>
          </w:p>
        </w:tc>
        <w:tc>
          <w:tcPr>
            <w:tcW w:w="842" w:type="dxa"/>
            <w:tcBorders>
              <w:top w:val="nil"/>
              <w:left w:val="nil"/>
              <w:bottom w:val="double" w:sz="6" w:space="0" w:color="auto"/>
              <w:right w:val="nil"/>
            </w:tcBorders>
            <w:shd w:val="clear" w:color="auto" w:fill="auto"/>
            <w:noWrap/>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106,5</w:t>
            </w:r>
          </w:p>
        </w:tc>
        <w:tc>
          <w:tcPr>
            <w:tcW w:w="747" w:type="dxa"/>
            <w:gridSpan w:val="3"/>
            <w:tcBorders>
              <w:top w:val="nil"/>
              <w:left w:val="nil"/>
              <w:bottom w:val="double" w:sz="6" w:space="0" w:color="auto"/>
              <w:right w:val="nil"/>
            </w:tcBorders>
            <w:shd w:val="clear" w:color="000000" w:fill="CCFFCC"/>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0,0%</w:t>
            </w:r>
          </w:p>
        </w:tc>
        <w:tc>
          <w:tcPr>
            <w:tcW w:w="671" w:type="dxa"/>
            <w:gridSpan w:val="3"/>
            <w:tcBorders>
              <w:top w:val="nil"/>
              <w:left w:val="nil"/>
              <w:bottom w:val="double" w:sz="6" w:space="0" w:color="auto"/>
              <w:right w:val="nil"/>
            </w:tcBorders>
            <w:shd w:val="clear" w:color="000000" w:fill="99CC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-0,2%</w:t>
            </w:r>
          </w:p>
        </w:tc>
        <w:tc>
          <w:tcPr>
            <w:tcW w:w="850" w:type="dxa"/>
            <w:tcBorders>
              <w:top w:val="nil"/>
              <w:left w:val="nil"/>
              <w:bottom w:val="double" w:sz="6" w:space="0" w:color="auto"/>
              <w:right w:val="nil"/>
            </w:tcBorders>
            <w:shd w:val="clear" w:color="000000" w:fill="CC99FF"/>
            <w:vAlign w:val="bottom"/>
            <w:hideMark/>
          </w:tcPr>
          <w:p w:rsidR="00BA3597" w:rsidRPr="00BA3597" w:rsidRDefault="00BA3597">
            <w:pPr>
              <w:jc w:val="right"/>
              <w:rPr>
                <w:rFonts w:ascii="Times New Roman" w:hAnsi="Times New Roman" w:cs="Times New Roman"/>
                <w:sz w:val="18"/>
                <w:szCs w:val="18"/>
              </w:rPr>
            </w:pPr>
            <w:r w:rsidRPr="00BA3597">
              <w:rPr>
                <w:rFonts w:ascii="Times New Roman" w:hAnsi="Times New Roman" w:cs="Times New Roman"/>
                <w:sz w:val="18"/>
                <w:szCs w:val="18"/>
              </w:rPr>
              <w:t>0,6%</w:t>
            </w:r>
          </w:p>
        </w:tc>
      </w:tr>
    </w:tbl>
    <w:p w:rsidR="003671B8" w:rsidRPr="0042781F" w:rsidRDefault="003671B8" w:rsidP="00C843F9">
      <w:pPr>
        <w:pStyle w:val="Titre4"/>
        <w:spacing w:before="0"/>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FC5523">
        <w:rPr>
          <w:rFonts w:ascii="Times New Roman" w:hAnsi="Times New Roman"/>
          <w:b w:val="0"/>
          <w:color w:val="auto"/>
          <w:sz w:val="16"/>
          <w:szCs w:val="16"/>
        </w:rPr>
        <w:t>, avril</w:t>
      </w:r>
      <w:r w:rsidR="000814FF">
        <w:rPr>
          <w:rFonts w:ascii="Times New Roman" w:hAnsi="Times New Roman"/>
          <w:b w:val="0"/>
          <w:color w:val="auto"/>
          <w:sz w:val="16"/>
          <w:szCs w:val="16"/>
        </w:rPr>
        <w:t xml:space="preserve"> </w:t>
      </w:r>
      <w:r w:rsidR="0030459A">
        <w:rPr>
          <w:rFonts w:ascii="Times New Roman" w:hAnsi="Times New Roman"/>
          <w:b w:val="0"/>
          <w:color w:val="auto"/>
          <w:sz w:val="16"/>
          <w:szCs w:val="16"/>
        </w:rPr>
        <w:t>2021</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9937" w:type="dxa"/>
        <w:tblBorders>
          <w:top w:val="double" w:sz="6" w:space="0" w:color="auto"/>
          <w:bottom w:val="double" w:sz="6" w:space="0" w:color="auto"/>
          <w:insideH w:val="single" w:sz="4" w:space="0" w:color="auto"/>
        </w:tblBorders>
        <w:tblCellMar>
          <w:left w:w="70" w:type="dxa"/>
          <w:right w:w="70" w:type="dxa"/>
        </w:tblCellMar>
        <w:tblLook w:val="04A0"/>
      </w:tblPr>
      <w:tblGrid>
        <w:gridCol w:w="1238"/>
        <w:gridCol w:w="768"/>
        <w:gridCol w:w="646"/>
        <w:gridCol w:w="646"/>
        <w:gridCol w:w="646"/>
        <w:gridCol w:w="725"/>
        <w:gridCol w:w="732"/>
        <w:gridCol w:w="646"/>
        <w:gridCol w:w="608"/>
        <w:gridCol w:w="668"/>
        <w:gridCol w:w="725"/>
        <w:gridCol w:w="581"/>
        <w:gridCol w:w="644"/>
        <w:gridCol w:w="664"/>
      </w:tblGrid>
      <w:tr w:rsidR="004A7351" w:rsidRPr="0042781F" w:rsidTr="0033692A">
        <w:trPr>
          <w:trHeight w:val="137"/>
        </w:trPr>
        <w:tc>
          <w:tcPr>
            <w:tcW w:w="1238" w:type="dxa"/>
            <w:shd w:val="clear" w:color="auto" w:fill="auto"/>
            <w:noWrap/>
            <w:vAlign w:val="bottom"/>
            <w:hideMark/>
          </w:tcPr>
          <w:p w:rsidR="004A7351" w:rsidRPr="0042781F" w:rsidRDefault="004A7351"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768" w:type="dxa"/>
          </w:tcPr>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avr.</w:t>
            </w:r>
            <w:r w:rsidRPr="0042781F">
              <w:rPr>
                <w:rFonts w:ascii="Times New Roman" w:hAnsi="Times New Roman" w:cs="Times New Roman"/>
                <w:color w:val="000000"/>
                <w:sz w:val="16"/>
                <w:szCs w:val="16"/>
              </w:rPr>
              <w:t>-20</w:t>
            </w:r>
          </w:p>
        </w:tc>
        <w:tc>
          <w:tcPr>
            <w:tcW w:w="646" w:type="dxa"/>
          </w:tcPr>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r w:rsidRPr="0042781F">
              <w:rPr>
                <w:rFonts w:ascii="Times New Roman" w:hAnsi="Times New Roman" w:cs="Times New Roman"/>
                <w:color w:val="000000"/>
                <w:sz w:val="16"/>
                <w:szCs w:val="16"/>
              </w:rPr>
              <w:t>ai</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6" w:type="dxa"/>
          </w:tcPr>
          <w:p w:rsidR="004A7351" w:rsidRPr="0042781F" w:rsidRDefault="004A7351" w:rsidP="0072309F">
            <w:pPr>
              <w:rPr>
                <w:rFonts w:ascii="Times New Roman" w:hAnsi="Times New Roman" w:cs="Times New Roman"/>
                <w:color w:val="000000"/>
                <w:sz w:val="16"/>
                <w:szCs w:val="16"/>
              </w:rPr>
            </w:pPr>
            <w:r>
              <w:rPr>
                <w:rFonts w:ascii="Times New Roman" w:hAnsi="Times New Roman" w:cs="Times New Roman"/>
                <w:color w:val="000000"/>
                <w:sz w:val="16"/>
                <w:szCs w:val="16"/>
              </w:rPr>
              <w:t>j</w:t>
            </w:r>
            <w:r w:rsidRPr="0042781F">
              <w:rPr>
                <w:rFonts w:ascii="Times New Roman" w:hAnsi="Times New Roman" w:cs="Times New Roman"/>
                <w:color w:val="000000"/>
                <w:sz w:val="16"/>
                <w:szCs w:val="16"/>
              </w:rPr>
              <w:t>uin</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6" w:type="dxa"/>
          </w:tcPr>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725" w:type="dxa"/>
          </w:tcPr>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Pr="0042781F">
              <w:rPr>
                <w:rFonts w:ascii="Times New Roman" w:hAnsi="Times New Roman" w:cs="Times New Roman"/>
                <w:color w:val="000000"/>
                <w:sz w:val="16"/>
                <w:szCs w:val="16"/>
              </w:rPr>
              <w:t>oût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732" w:type="dxa"/>
          </w:tcPr>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42781F">
              <w:rPr>
                <w:rFonts w:ascii="Times New Roman" w:hAnsi="Times New Roman" w:cs="Times New Roman"/>
                <w:color w:val="000000"/>
                <w:sz w:val="16"/>
                <w:szCs w:val="16"/>
              </w:rPr>
              <w:t>ept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6" w:type="dxa"/>
          </w:tcPr>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08" w:type="dxa"/>
          </w:tcPr>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68" w:type="dxa"/>
          </w:tcPr>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déc.-20</w:t>
            </w:r>
          </w:p>
        </w:tc>
        <w:tc>
          <w:tcPr>
            <w:tcW w:w="725" w:type="dxa"/>
          </w:tcPr>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janv.-21</w:t>
            </w:r>
          </w:p>
        </w:tc>
        <w:tc>
          <w:tcPr>
            <w:tcW w:w="581" w:type="dxa"/>
          </w:tcPr>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fév.21</w:t>
            </w:r>
          </w:p>
        </w:tc>
        <w:tc>
          <w:tcPr>
            <w:tcW w:w="644" w:type="dxa"/>
          </w:tcPr>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mar.-21</w:t>
            </w:r>
          </w:p>
        </w:tc>
        <w:tc>
          <w:tcPr>
            <w:tcW w:w="664" w:type="dxa"/>
          </w:tcPr>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avr.-20</w:t>
            </w:r>
          </w:p>
        </w:tc>
      </w:tr>
      <w:tr w:rsidR="004A7351" w:rsidRPr="0042781F" w:rsidTr="0033692A">
        <w:trPr>
          <w:trHeight w:val="470"/>
        </w:trPr>
        <w:tc>
          <w:tcPr>
            <w:tcW w:w="1238" w:type="dxa"/>
            <w:shd w:val="clear" w:color="auto" w:fill="auto"/>
            <w:noWrap/>
            <w:vAlign w:val="bottom"/>
            <w:hideMark/>
          </w:tcPr>
          <w:p w:rsidR="004A7351" w:rsidRPr="0042781F" w:rsidRDefault="004A7351"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768" w:type="dxa"/>
            <w:vAlign w:val="bottom"/>
          </w:tcPr>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46" w:type="dxa"/>
            <w:vAlign w:val="bottom"/>
          </w:tcPr>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46" w:type="dxa"/>
          </w:tcPr>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46" w:type="dxa"/>
          </w:tcPr>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725" w:type="dxa"/>
          </w:tcPr>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732" w:type="dxa"/>
          </w:tcPr>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46" w:type="dxa"/>
          </w:tcPr>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08"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Pr="0042781F"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68"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25"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581"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644"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664" w:type="dxa"/>
          </w:tcPr>
          <w:p w:rsidR="004A7351" w:rsidRDefault="004A7351" w:rsidP="003671B8">
            <w:pPr>
              <w:jc w:val="center"/>
              <w:rPr>
                <w:rFonts w:ascii="Times New Roman" w:hAnsi="Times New Roman" w:cs="Times New Roman"/>
                <w:color w:val="000000"/>
                <w:sz w:val="16"/>
                <w:szCs w:val="16"/>
              </w:rPr>
            </w:pPr>
          </w:p>
          <w:p w:rsidR="004A7351" w:rsidRDefault="004A7351" w:rsidP="003671B8">
            <w:pPr>
              <w:jc w:val="center"/>
              <w:rPr>
                <w:rFonts w:ascii="Times New Roman" w:hAnsi="Times New Roman" w:cs="Times New Roman"/>
                <w:color w:val="000000"/>
                <w:sz w:val="16"/>
                <w:szCs w:val="16"/>
              </w:rPr>
            </w:pPr>
          </w:p>
          <w:p w:rsidR="004A7351" w:rsidRDefault="00A65022"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4A7351">
              <w:rPr>
                <w:rFonts w:ascii="Times New Roman" w:hAnsi="Times New Roman" w:cs="Times New Roman"/>
                <w:color w:val="000000"/>
                <w:sz w:val="16"/>
                <w:szCs w:val="16"/>
              </w:rPr>
              <w:t>2,0%</w:t>
            </w:r>
          </w:p>
        </w:tc>
      </w:tr>
    </w:tbl>
    <w:p w:rsidR="00FC5523" w:rsidRPr="002370EA" w:rsidRDefault="003671B8" w:rsidP="002370EA">
      <w:pPr>
        <w:rPr>
          <w:rFonts w:ascii="Times New Roman" w:eastAsiaTheme="majorEastAsia" w:hAnsi="Times New Roman" w:cstheme="majorBidi"/>
          <w:bCs/>
          <w:i/>
          <w:i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FC5523">
        <w:rPr>
          <w:rFonts w:ascii="Times New Roman" w:eastAsiaTheme="majorEastAsia" w:hAnsi="Times New Roman" w:cstheme="majorBidi"/>
          <w:bCs/>
          <w:i/>
          <w:iCs/>
          <w:sz w:val="16"/>
          <w:szCs w:val="16"/>
        </w:rPr>
        <w:t>avril</w:t>
      </w:r>
      <w:r w:rsidRPr="0042781F">
        <w:rPr>
          <w:rFonts w:ascii="Times New Roman" w:eastAsiaTheme="majorEastAsia" w:hAnsi="Times New Roman" w:cstheme="majorBidi"/>
          <w:bCs/>
          <w:i/>
          <w:iCs/>
          <w:sz w:val="16"/>
          <w:szCs w:val="16"/>
        </w:rPr>
        <w:t xml:space="preserve">  202</w:t>
      </w:r>
      <w:r w:rsidR="003C343B">
        <w:rPr>
          <w:rFonts w:ascii="Times New Roman" w:eastAsiaTheme="majorEastAsia" w:hAnsi="Times New Roman" w:cstheme="majorBidi"/>
          <w:bCs/>
          <w:i/>
          <w:iCs/>
          <w:sz w:val="16"/>
          <w:szCs w:val="16"/>
        </w:rPr>
        <w:t>1</w:t>
      </w:r>
    </w:p>
    <w:p w:rsidR="002370EA" w:rsidRDefault="002370EA"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194F76" w:rsidRDefault="00194F76" w:rsidP="003671B8">
      <w:pPr>
        <w:tabs>
          <w:tab w:val="left" w:pos="1740"/>
        </w:tabs>
        <w:rPr>
          <w:rFonts w:ascii="Times New Roman" w:hAnsi="Times New Roman" w:cs="Times New Roman"/>
          <w:b/>
          <w:bCs/>
          <w:i/>
          <w:iCs/>
          <w:sz w:val="24"/>
          <w:szCs w:val="24"/>
        </w:rPr>
      </w:pPr>
      <w:r w:rsidRPr="0042781F">
        <w:rPr>
          <w:rFonts w:ascii="Times New Roman" w:hAnsi="Times New Roman" w:cs="Times New Roman"/>
          <w:b/>
          <w:bCs/>
          <w:i/>
          <w:iCs/>
          <w:sz w:val="24"/>
          <w:szCs w:val="24"/>
        </w:rPr>
        <w:lastRenderedPageBreak/>
        <w:t>Graphique</w:t>
      </w:r>
      <w:r w:rsidR="00C26A1D">
        <w:rPr>
          <w:rFonts w:ascii="Times New Roman" w:hAnsi="Times New Roman" w:cs="Times New Roman"/>
          <w:b/>
          <w:bCs/>
          <w:i/>
          <w:iCs/>
          <w:sz w:val="24"/>
          <w:szCs w:val="24"/>
        </w:rPr>
        <w:t xml:space="preserve"> 1</w:t>
      </w:r>
      <w:r>
        <w:rPr>
          <w:rFonts w:ascii="Times New Roman" w:hAnsi="Times New Roman" w:cs="Times New Roman"/>
          <w:b/>
          <w:bCs/>
          <w:i/>
          <w:iCs/>
          <w:sz w:val="24"/>
          <w:szCs w:val="24"/>
        </w:rPr>
        <w:t> : Evolution du taux d’inflation en critère de convergence UEMOA</w:t>
      </w:r>
    </w:p>
    <w:p w:rsidR="005810A3" w:rsidRDefault="00D670C6" w:rsidP="003671B8">
      <w:pPr>
        <w:tabs>
          <w:tab w:val="left" w:pos="1740"/>
        </w:tabs>
        <w:rPr>
          <w:b/>
          <w:bCs/>
          <w:i/>
          <w:iCs/>
        </w:rPr>
      </w:pPr>
      <w:r w:rsidRPr="00D670C6">
        <w:rPr>
          <w:b/>
          <w:bCs/>
          <w:i/>
          <w:iCs/>
          <w:noProof/>
          <w:lang w:eastAsia="fr-FR"/>
        </w:rPr>
        <w:drawing>
          <wp:inline distT="0" distB="0" distL="0" distR="0">
            <wp:extent cx="5917730" cy="1574358"/>
            <wp:effectExtent l="19050" t="0" r="25870" b="6792"/>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5B7" w:rsidRDefault="005810A3" w:rsidP="003671B8">
      <w:pPr>
        <w:tabs>
          <w:tab w:val="left" w:pos="1740"/>
        </w:tabs>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0814FF">
        <w:rPr>
          <w:rFonts w:ascii="Times New Roman" w:hAnsi="Times New Roman" w:cs="Times New Roman"/>
          <w:bCs/>
          <w:sz w:val="16"/>
          <w:szCs w:val="16"/>
        </w:rPr>
        <w:t xml:space="preserve"> : DSS/INSAE, </w:t>
      </w:r>
      <w:r w:rsidR="00FC5523">
        <w:rPr>
          <w:rFonts w:ascii="Times New Roman" w:hAnsi="Times New Roman" w:cs="Times New Roman"/>
          <w:bCs/>
          <w:sz w:val="16"/>
          <w:szCs w:val="16"/>
        </w:rPr>
        <w:t>avril</w:t>
      </w:r>
      <w:r>
        <w:rPr>
          <w:rFonts w:ascii="Times New Roman" w:hAnsi="Times New Roman" w:cs="Times New Roman"/>
          <w:bCs/>
          <w:sz w:val="16"/>
          <w:szCs w:val="16"/>
        </w:rPr>
        <w:t xml:space="preserve"> 2021</w:t>
      </w:r>
    </w:p>
    <w:p w:rsidR="00C843F9" w:rsidRDefault="00C843F9" w:rsidP="003671B8">
      <w:pPr>
        <w:tabs>
          <w:tab w:val="left" w:pos="1740"/>
        </w:tabs>
        <w:rPr>
          <w:rFonts w:ascii="Times New Roman" w:hAnsi="Times New Roman" w:cs="Times New Roman"/>
          <w:b/>
          <w:bCs/>
          <w:i/>
          <w:iCs/>
          <w:sz w:val="24"/>
          <w:szCs w:val="24"/>
        </w:rPr>
      </w:pPr>
    </w:p>
    <w:p w:rsidR="003671B8" w:rsidRPr="0042781F" w:rsidRDefault="00C26A1D" w:rsidP="003671B8">
      <w:pPr>
        <w:tabs>
          <w:tab w:val="left" w:pos="1740"/>
        </w:tabs>
        <w:rPr>
          <w:rFonts w:ascii="Times New Roman" w:hAnsi="Times New Roman" w:cs="Times New Roman"/>
          <w:b/>
          <w:bCs/>
          <w:i/>
          <w:iCs/>
          <w:sz w:val="24"/>
          <w:szCs w:val="24"/>
        </w:rPr>
      </w:pPr>
      <w:r>
        <w:rPr>
          <w:rFonts w:ascii="Times New Roman" w:hAnsi="Times New Roman" w:cs="Times New Roman"/>
          <w:b/>
          <w:bCs/>
          <w:i/>
          <w:iCs/>
          <w:sz w:val="24"/>
          <w:szCs w:val="24"/>
        </w:rPr>
        <w:t>Graphique 2</w:t>
      </w:r>
      <w:r w:rsidR="003671B8" w:rsidRPr="0042781F">
        <w:rPr>
          <w:rFonts w:ascii="Times New Roman" w:hAnsi="Times New Roman" w:cs="Times New Roman"/>
          <w:b/>
          <w:bCs/>
          <w:i/>
          <w:iCs/>
          <w:sz w:val="24"/>
          <w:szCs w:val="24"/>
        </w:rPr>
        <w:t> : Evolution de l'indice global et de l'indice hors produits frais et énergétiques</w:t>
      </w:r>
    </w:p>
    <w:p w:rsidR="003671B8" w:rsidRDefault="00D670C6" w:rsidP="003671B8">
      <w:pPr>
        <w:tabs>
          <w:tab w:val="left" w:pos="1740"/>
        </w:tabs>
        <w:rPr>
          <w:b/>
          <w:bCs/>
          <w:i/>
          <w:iCs/>
        </w:rPr>
      </w:pPr>
      <w:r w:rsidRPr="00D670C6">
        <w:rPr>
          <w:b/>
          <w:bCs/>
          <w:i/>
          <w:iCs/>
          <w:noProof/>
          <w:lang w:eastAsia="fr-FR"/>
        </w:rPr>
        <w:drawing>
          <wp:inline distT="0" distB="0" distL="0" distR="0">
            <wp:extent cx="5877974" cy="2075290"/>
            <wp:effectExtent l="19050" t="0" r="27526" b="116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A50B4A" w:rsidP="003671B8">
      <w:pPr>
        <w:tabs>
          <w:tab w:val="left" w:pos="1740"/>
        </w:tabs>
        <w:rPr>
          <w:rFonts w:ascii="Times New Roman" w:hAnsi="Times New Roman" w:cs="Times New Roman"/>
        </w:rPr>
      </w:pPr>
      <w:r>
        <w:rPr>
          <w:noProof/>
          <w:sz w:val="16"/>
          <w:szCs w:val="16"/>
          <w:u w:val="single"/>
        </w:rPr>
        <w:br w:type="textWrapping" w:clear="all"/>
      </w:r>
      <w:r w:rsidR="003671B8"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FC5523">
        <w:rPr>
          <w:rFonts w:ascii="Times New Roman" w:hAnsi="Times New Roman" w:cs="Times New Roman"/>
          <w:bCs/>
          <w:sz w:val="16"/>
          <w:szCs w:val="16"/>
        </w:rPr>
        <w:t>avril</w:t>
      </w:r>
      <w:r w:rsidR="00053949">
        <w:rPr>
          <w:rFonts w:ascii="Times New Roman" w:hAnsi="Times New Roman" w:cs="Times New Roman"/>
          <w:bCs/>
          <w:sz w:val="16"/>
          <w:szCs w:val="16"/>
        </w:rPr>
        <w:t xml:space="preserve"> 2021</w:t>
      </w:r>
    </w:p>
    <w:p w:rsidR="00C843F9" w:rsidRDefault="00C843F9" w:rsidP="003671B8"/>
    <w:p w:rsidR="003671B8" w:rsidRPr="0042781F" w:rsidRDefault="00C26A1D" w:rsidP="003671B8">
      <w:pPr>
        <w:rPr>
          <w:rFonts w:ascii="Times New Roman" w:hAnsi="Times New Roman" w:cs="Times New Roman"/>
          <w:noProof/>
          <w:sz w:val="24"/>
          <w:szCs w:val="24"/>
        </w:rPr>
      </w:pPr>
      <w:r>
        <w:rPr>
          <w:rFonts w:ascii="Times New Roman" w:hAnsi="Times New Roman" w:cs="Times New Roman"/>
          <w:b/>
          <w:bCs/>
          <w:i/>
          <w:iCs/>
          <w:sz w:val="24"/>
          <w:szCs w:val="24"/>
        </w:rPr>
        <w:t>Graphique 3</w:t>
      </w:r>
      <w:r w:rsidR="003671B8" w:rsidRPr="0042781F">
        <w:rPr>
          <w:rFonts w:ascii="Times New Roman" w:hAnsi="Times New Roman" w:cs="Times New Roman"/>
          <w:b/>
          <w:bCs/>
          <w:i/>
          <w:iCs/>
          <w:sz w:val="24"/>
          <w:szCs w:val="24"/>
        </w:rPr>
        <w:t> : Evolution mensuelle de l'indice global et de l'indice des produits alimentaires</w:t>
      </w:r>
    </w:p>
    <w:p w:rsidR="003671B8" w:rsidRDefault="003671B8" w:rsidP="003671B8">
      <w:pPr>
        <w:rPr>
          <w:noProof/>
          <w:sz w:val="16"/>
          <w:szCs w:val="16"/>
          <w:u w:val="single"/>
        </w:rPr>
      </w:pPr>
    </w:p>
    <w:p w:rsidR="003671B8" w:rsidRDefault="00D670C6" w:rsidP="003671B8">
      <w:pPr>
        <w:rPr>
          <w:noProof/>
          <w:sz w:val="16"/>
          <w:szCs w:val="16"/>
          <w:u w:val="single"/>
        </w:rPr>
      </w:pPr>
      <w:r w:rsidRPr="00D670C6">
        <w:rPr>
          <w:noProof/>
          <w:sz w:val="16"/>
          <w:szCs w:val="16"/>
          <w:u w:val="single"/>
          <w:lang w:eastAsia="fr-FR"/>
        </w:rPr>
        <w:drawing>
          <wp:inline distT="0" distB="0" distL="0" distR="0">
            <wp:extent cx="5821707" cy="1749286"/>
            <wp:effectExtent l="19050" t="0" r="26643" b="3314"/>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xml:space="preserve"> : DSS/INSAE, </w:t>
      </w:r>
      <w:r w:rsidR="00FC5523">
        <w:rPr>
          <w:rFonts w:ascii="Times New Roman" w:hAnsi="Times New Roman" w:cs="Times New Roman"/>
          <w:bCs/>
          <w:sz w:val="16"/>
          <w:szCs w:val="16"/>
        </w:rPr>
        <w:t>avril</w:t>
      </w:r>
      <w:r w:rsidR="00053949">
        <w:rPr>
          <w:rFonts w:ascii="Times New Roman" w:hAnsi="Times New Roman" w:cs="Times New Roman"/>
          <w:bCs/>
          <w:sz w:val="16"/>
          <w:szCs w:val="16"/>
        </w:rPr>
        <w:t xml:space="preserve"> 2021</w:t>
      </w:r>
    </w:p>
    <w:p w:rsidR="0015436C" w:rsidRDefault="0015436C" w:rsidP="003671B8">
      <w:pPr>
        <w:rPr>
          <w:rFonts w:ascii="Times New Roman" w:hAnsi="Times New Roman" w:cs="Times New Roman"/>
          <w:b/>
          <w:bCs/>
          <w:i/>
          <w:iCs/>
          <w:sz w:val="24"/>
          <w:szCs w:val="24"/>
        </w:rPr>
      </w:pPr>
    </w:p>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4</w:t>
      </w:r>
      <w:r w:rsidR="003671B8" w:rsidRPr="0042781F">
        <w:rPr>
          <w:rFonts w:ascii="Times New Roman" w:hAnsi="Times New Roman" w:cs="Times New Roman"/>
          <w:b/>
          <w:bCs/>
          <w:i/>
          <w:iCs/>
          <w:sz w:val="24"/>
          <w:szCs w:val="24"/>
        </w:rPr>
        <w:t xml:space="preserve">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D670C6" w:rsidP="003671B8">
      <w:pPr>
        <w:rPr>
          <w:rFonts w:ascii="Times New Roman" w:hAnsi="Times New Roman" w:cs="Times New Roman"/>
          <w:bCs/>
          <w:sz w:val="16"/>
          <w:szCs w:val="16"/>
          <w:u w:val="single"/>
        </w:rPr>
      </w:pPr>
      <w:r w:rsidRPr="00D670C6">
        <w:rPr>
          <w:rFonts w:ascii="Times New Roman" w:hAnsi="Times New Roman" w:cs="Times New Roman"/>
          <w:bCs/>
          <w:noProof/>
          <w:sz w:val="16"/>
          <w:szCs w:val="16"/>
          <w:u w:val="single"/>
          <w:lang w:eastAsia="fr-FR"/>
        </w:rPr>
        <w:drawing>
          <wp:inline distT="0" distB="0" distL="0" distR="0">
            <wp:extent cx="5824247" cy="1725433"/>
            <wp:effectExtent l="19050" t="0" r="24103" b="8117"/>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1B8"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FC5523">
        <w:rPr>
          <w:rFonts w:ascii="Times New Roman" w:hAnsi="Times New Roman" w:cs="Times New Roman"/>
          <w:bCs/>
          <w:sz w:val="16"/>
          <w:szCs w:val="16"/>
        </w:rPr>
        <w:t>avril</w:t>
      </w:r>
      <w:r w:rsidR="00053949">
        <w:rPr>
          <w:rFonts w:ascii="Times New Roman" w:hAnsi="Times New Roman" w:cs="Times New Roman"/>
          <w:bCs/>
          <w:sz w:val="16"/>
          <w:szCs w:val="16"/>
        </w:rPr>
        <w:t xml:space="preserve"> 2021</w:t>
      </w:r>
    </w:p>
    <w:p w:rsidR="004A7351" w:rsidRDefault="004A7351" w:rsidP="004A7351">
      <w:pPr>
        <w:spacing w:after="160" w:line="259" w:lineRule="auto"/>
        <w:rPr>
          <w:rFonts w:ascii="Times New Roman" w:hAnsi="Times New Roman" w:cs="Times New Roman"/>
          <w:b/>
          <w:bCs/>
          <w:i/>
          <w:iCs/>
          <w:sz w:val="24"/>
          <w:szCs w:val="24"/>
        </w:rPr>
      </w:pPr>
    </w:p>
    <w:p w:rsidR="004A7351" w:rsidRPr="004A7351" w:rsidRDefault="007A45A1" w:rsidP="004A7351">
      <w:p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Graphique</w:t>
      </w:r>
      <w:r w:rsidR="00C26A1D">
        <w:rPr>
          <w:rFonts w:ascii="Times New Roman" w:hAnsi="Times New Roman" w:cs="Times New Roman"/>
          <w:b/>
          <w:bCs/>
          <w:i/>
          <w:iCs/>
          <w:sz w:val="24"/>
          <w:szCs w:val="24"/>
        </w:rPr>
        <w:t xml:space="preserve"> 5</w:t>
      </w:r>
      <w:r w:rsidR="003671B8" w:rsidRPr="0042781F">
        <w:rPr>
          <w:rFonts w:ascii="Times New Roman" w:hAnsi="Times New Roman" w:cs="Times New Roman"/>
          <w:b/>
          <w:bCs/>
          <w:i/>
          <w:iCs/>
          <w:sz w:val="24"/>
          <w:szCs w:val="24"/>
        </w:rPr>
        <w:t> : Evolution mensuelle des indices des produits importés et locaux</w:t>
      </w:r>
    </w:p>
    <w:p w:rsidR="003671B8" w:rsidRPr="004A7351" w:rsidRDefault="00D670C6" w:rsidP="004A7351">
      <w:pPr>
        <w:spacing w:after="160" w:line="259" w:lineRule="auto"/>
        <w:rPr>
          <w:rFonts w:ascii="Times New Roman" w:hAnsi="Times New Roman" w:cs="Times New Roman"/>
          <w:b/>
          <w:bCs/>
          <w:i/>
          <w:iCs/>
          <w:sz w:val="24"/>
          <w:szCs w:val="24"/>
        </w:rPr>
      </w:pPr>
      <w:r w:rsidRPr="00D670C6">
        <w:rPr>
          <w:rFonts w:ascii="Times New Roman" w:hAnsi="Times New Roman" w:cs="Times New Roman"/>
          <w:b/>
          <w:bCs/>
          <w:i/>
          <w:iCs/>
          <w:noProof/>
          <w:sz w:val="24"/>
          <w:szCs w:val="24"/>
          <w:lang w:eastAsia="fr-FR"/>
        </w:rPr>
        <w:drawing>
          <wp:inline distT="0" distB="0" distL="0" distR="0">
            <wp:extent cx="5979767" cy="2274073"/>
            <wp:effectExtent l="19050" t="0" r="20983" b="0"/>
            <wp:docPr id="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671B8" w:rsidRPr="0042781F">
        <w:rPr>
          <w:rFonts w:ascii="Times New Roman" w:hAnsi="Times New Roman" w:cs="Times New Roman"/>
          <w:bCs/>
          <w:iCs/>
          <w:sz w:val="16"/>
          <w:szCs w:val="16"/>
          <w:u w:val="single"/>
        </w:rPr>
        <w:t>Source </w:t>
      </w:r>
      <w:r w:rsidR="003671B8" w:rsidRPr="0042781F">
        <w:rPr>
          <w:rFonts w:ascii="Times New Roman" w:hAnsi="Times New Roman" w:cs="Times New Roman"/>
          <w:b/>
          <w:bCs/>
          <w:iCs/>
          <w:sz w:val="16"/>
          <w:szCs w:val="16"/>
        </w:rPr>
        <w:t xml:space="preserve">: </w:t>
      </w:r>
      <w:r w:rsidR="003671B8" w:rsidRPr="0042781F">
        <w:rPr>
          <w:rFonts w:ascii="Times New Roman" w:hAnsi="Times New Roman" w:cs="Times New Roman"/>
          <w:bCs/>
          <w:iCs/>
          <w:sz w:val="16"/>
          <w:szCs w:val="16"/>
        </w:rPr>
        <w:t xml:space="preserve">DSS/INSAE, </w:t>
      </w:r>
      <w:r w:rsidR="00FC5523">
        <w:rPr>
          <w:rFonts w:ascii="Times New Roman" w:hAnsi="Times New Roman" w:cs="Times New Roman"/>
          <w:bCs/>
          <w:sz w:val="16"/>
          <w:szCs w:val="16"/>
        </w:rPr>
        <w:t>avril</w:t>
      </w:r>
      <w:r w:rsidR="00053949">
        <w:rPr>
          <w:rFonts w:ascii="Times New Roman" w:hAnsi="Times New Roman" w:cs="Times New Roman"/>
          <w:bCs/>
          <w:sz w:val="16"/>
          <w:szCs w:val="16"/>
        </w:rPr>
        <w:t xml:space="preserve"> 2021</w:t>
      </w:r>
    </w:p>
    <w:p w:rsidR="00FC5523" w:rsidRPr="00380E69" w:rsidRDefault="00FC5523" w:rsidP="003671B8"/>
    <w:p w:rsidR="009A1366"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2</w:t>
      </w:r>
      <w:r w:rsidRPr="00EF65B5">
        <w:rPr>
          <w:rFonts w:ascii="Times New Roman" w:hAnsi="Times New Roman" w:cs="Times New Roman"/>
          <w:b/>
          <w:sz w:val="24"/>
          <w:szCs w:val="24"/>
        </w:rPr>
        <w:t> : IHPC suivant les nomen</w:t>
      </w:r>
      <w:r w:rsidR="00EA37C7">
        <w:rPr>
          <w:rFonts w:ascii="Times New Roman" w:hAnsi="Times New Roman" w:cs="Times New Roman"/>
          <w:b/>
          <w:sz w:val="24"/>
          <w:szCs w:val="24"/>
        </w:rPr>
        <w:t xml:space="preserve">clatures secondaires en  </w:t>
      </w:r>
      <w:r w:rsidR="00FC5523">
        <w:rPr>
          <w:rFonts w:ascii="Times New Roman" w:hAnsi="Times New Roman" w:cs="Times New Roman"/>
          <w:b/>
          <w:sz w:val="24"/>
          <w:szCs w:val="24"/>
        </w:rPr>
        <w:t>avril</w:t>
      </w:r>
      <w:r w:rsidR="00A00B1E">
        <w:rPr>
          <w:rFonts w:ascii="Times New Roman" w:hAnsi="Times New Roman" w:cs="Times New Roman"/>
          <w:b/>
          <w:sz w:val="24"/>
          <w:szCs w:val="24"/>
        </w:rPr>
        <w:t xml:space="preserve"> 2021</w:t>
      </w:r>
    </w:p>
    <w:tbl>
      <w:tblPr>
        <w:tblW w:w="9742" w:type="dxa"/>
        <w:tblInd w:w="70" w:type="dxa"/>
        <w:tblCellMar>
          <w:left w:w="70" w:type="dxa"/>
          <w:right w:w="70" w:type="dxa"/>
        </w:tblCellMar>
        <w:tblLook w:val="04A0"/>
      </w:tblPr>
      <w:tblGrid>
        <w:gridCol w:w="2780"/>
        <w:gridCol w:w="691"/>
        <w:gridCol w:w="810"/>
        <w:gridCol w:w="816"/>
        <w:gridCol w:w="860"/>
        <w:gridCol w:w="810"/>
        <w:gridCol w:w="810"/>
        <w:gridCol w:w="675"/>
        <w:gridCol w:w="675"/>
        <w:gridCol w:w="815"/>
      </w:tblGrid>
      <w:tr w:rsidR="0033692A" w:rsidRPr="004577D5" w:rsidTr="003671B8">
        <w:trPr>
          <w:trHeight w:val="315"/>
        </w:trPr>
        <w:tc>
          <w:tcPr>
            <w:tcW w:w="2780" w:type="dxa"/>
            <w:tcBorders>
              <w:top w:val="double" w:sz="6" w:space="0" w:color="auto"/>
              <w:left w:val="nil"/>
              <w:bottom w:val="single" w:sz="4" w:space="0" w:color="auto"/>
              <w:right w:val="nil"/>
            </w:tcBorders>
            <w:shd w:val="clear" w:color="000000" w:fill="00FFFF"/>
            <w:hideMark/>
          </w:tcPr>
          <w:p w:rsidR="0033692A" w:rsidRPr="004577D5" w:rsidRDefault="0033692A" w:rsidP="003671B8">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Pr>
                <w:rFonts w:ascii="Times New Roman" w:hAnsi="Times New Roman" w:cs="Times New Roman"/>
                <w:b/>
                <w:bCs/>
                <w:sz w:val="18"/>
                <w:szCs w:val="18"/>
              </w:rPr>
              <w:t>avr.-20</w:t>
            </w:r>
          </w:p>
        </w:tc>
        <w:tc>
          <w:tcPr>
            <w:tcW w:w="816"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E65DE1">
            <w:pPr>
              <w:jc w:val="center"/>
              <w:rPr>
                <w:rFonts w:ascii="Times New Roman" w:hAnsi="Times New Roman" w:cs="Times New Roman"/>
                <w:b/>
                <w:bCs/>
                <w:sz w:val="18"/>
                <w:szCs w:val="18"/>
              </w:rPr>
            </w:pPr>
            <w:r>
              <w:rPr>
                <w:rFonts w:ascii="Times New Roman" w:hAnsi="Times New Roman" w:cs="Times New Roman"/>
                <w:b/>
                <w:bCs/>
                <w:sz w:val="18"/>
                <w:szCs w:val="18"/>
              </w:rPr>
              <w:t>janv.-21</w:t>
            </w:r>
          </w:p>
        </w:tc>
        <w:tc>
          <w:tcPr>
            <w:tcW w:w="860"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E65DE1">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810"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E65DE1">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810"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Pr>
                <w:rFonts w:ascii="Times New Roman" w:hAnsi="Times New Roman" w:cs="Times New Roman"/>
                <w:b/>
                <w:bCs/>
                <w:sz w:val="18"/>
                <w:szCs w:val="18"/>
              </w:rPr>
              <w:t>avr.-21</w:t>
            </w:r>
          </w:p>
        </w:tc>
        <w:tc>
          <w:tcPr>
            <w:tcW w:w="675"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33692A" w:rsidRPr="004577D5" w:rsidRDefault="0033692A"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103,8</w:t>
            </w:r>
          </w:p>
        </w:tc>
        <w:tc>
          <w:tcPr>
            <w:tcW w:w="816"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103,2</w:t>
            </w:r>
          </w:p>
        </w:tc>
        <w:tc>
          <w:tcPr>
            <w:tcW w:w="81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2,0%</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106,0</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101,3</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100,3</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104,0</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106,3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2,2%</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4,9%</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0,3%</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101,0</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93,8</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93,6</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93,5</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94,8</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1,4%</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-6,1%</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104,1</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104,8</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104,6</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105,1</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0,4%</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0,3%</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105,8</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98,5</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97,0</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101,2</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3,1%</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5,9%</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-1,4%</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102,4</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102,8</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102,8</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103,7</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0,9%</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1,3%</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105,2</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104,8</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104,6</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104,7</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0,0%</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-0,1%</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101,6</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101,3</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101,1</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101,3</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101,5</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0,2%</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0,2%</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-0,1%</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105,4</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103,2</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102,4</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103,8</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105,2</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1,9%</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-0,2%</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104,0</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104,4</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107,5</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107,3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0,0%</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2,8%</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3,2%</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104,3</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102,0</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101,8</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0,0%</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-1,9%</w:t>
            </w:r>
          </w:p>
        </w:tc>
      </w:tr>
      <w:tr w:rsidR="0033692A" w:rsidRPr="004577D5" w:rsidTr="003671B8">
        <w:trPr>
          <w:trHeight w:val="300"/>
        </w:trPr>
        <w:tc>
          <w:tcPr>
            <w:tcW w:w="2780" w:type="dxa"/>
            <w:tcBorders>
              <w:top w:val="nil"/>
              <w:left w:val="nil"/>
              <w:bottom w:val="nil"/>
              <w:right w:val="nil"/>
            </w:tcBorders>
            <w:shd w:val="clear" w:color="auto" w:fill="auto"/>
            <w:noWrap/>
            <w:vAlign w:val="bottom"/>
            <w:hideMark/>
          </w:tcPr>
          <w:p w:rsidR="0033692A" w:rsidRPr="004577D5" w:rsidRDefault="0033692A"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103,5</w:t>
            </w:r>
          </w:p>
        </w:tc>
        <w:tc>
          <w:tcPr>
            <w:tcW w:w="816"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101,1</w:t>
            </w:r>
          </w:p>
        </w:tc>
        <w:tc>
          <w:tcPr>
            <w:tcW w:w="86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100,4</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102,4</w:t>
            </w:r>
          </w:p>
        </w:tc>
        <w:tc>
          <w:tcPr>
            <w:tcW w:w="810" w:type="dxa"/>
            <w:tcBorders>
              <w:top w:val="nil"/>
              <w:left w:val="nil"/>
              <w:bottom w:val="nil"/>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104,4</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2,0%</w:t>
            </w:r>
          </w:p>
        </w:tc>
        <w:tc>
          <w:tcPr>
            <w:tcW w:w="67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3,3%</w:t>
            </w:r>
          </w:p>
        </w:tc>
        <w:tc>
          <w:tcPr>
            <w:tcW w:w="815" w:type="dxa"/>
            <w:tcBorders>
              <w:top w:val="nil"/>
              <w:left w:val="nil"/>
              <w:bottom w:val="nil"/>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0,9%</w:t>
            </w:r>
          </w:p>
        </w:tc>
      </w:tr>
      <w:tr w:rsidR="0033692A" w:rsidRPr="004577D5" w:rsidTr="003671B8">
        <w:trPr>
          <w:trHeight w:val="315"/>
        </w:trPr>
        <w:tc>
          <w:tcPr>
            <w:tcW w:w="2780" w:type="dxa"/>
            <w:tcBorders>
              <w:top w:val="nil"/>
              <w:left w:val="nil"/>
              <w:bottom w:val="double" w:sz="6" w:space="0" w:color="auto"/>
              <w:right w:val="nil"/>
            </w:tcBorders>
            <w:shd w:val="clear" w:color="auto" w:fill="auto"/>
            <w:noWrap/>
            <w:vAlign w:val="bottom"/>
            <w:hideMark/>
          </w:tcPr>
          <w:p w:rsidR="0033692A" w:rsidRPr="004577D5" w:rsidRDefault="0033692A" w:rsidP="003671B8">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33692A" w:rsidRPr="004577D5" w:rsidRDefault="0033692A"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105,2</w:t>
            </w:r>
          </w:p>
        </w:tc>
        <w:tc>
          <w:tcPr>
            <w:tcW w:w="816" w:type="dxa"/>
            <w:tcBorders>
              <w:top w:val="nil"/>
              <w:left w:val="nil"/>
              <w:bottom w:val="double" w:sz="6" w:space="0" w:color="auto"/>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104,8</w:t>
            </w:r>
          </w:p>
        </w:tc>
        <w:tc>
          <w:tcPr>
            <w:tcW w:w="860" w:type="dxa"/>
            <w:tcBorders>
              <w:top w:val="nil"/>
              <w:left w:val="nil"/>
              <w:bottom w:val="double" w:sz="6" w:space="0" w:color="auto"/>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104,6</w:t>
            </w:r>
          </w:p>
        </w:tc>
        <w:tc>
          <w:tcPr>
            <w:tcW w:w="810" w:type="dxa"/>
            <w:tcBorders>
              <w:top w:val="nil"/>
              <w:left w:val="nil"/>
              <w:bottom w:val="double" w:sz="6" w:space="0" w:color="auto"/>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104,7</w:t>
            </w:r>
          </w:p>
        </w:tc>
        <w:tc>
          <w:tcPr>
            <w:tcW w:w="810" w:type="dxa"/>
            <w:tcBorders>
              <w:top w:val="nil"/>
              <w:left w:val="nil"/>
              <w:bottom w:val="double" w:sz="6" w:space="0" w:color="auto"/>
              <w:right w:val="nil"/>
            </w:tcBorders>
            <w:shd w:val="clear" w:color="auto" w:fill="auto"/>
            <w:noWrap/>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104,7</w:t>
            </w:r>
          </w:p>
        </w:tc>
        <w:tc>
          <w:tcPr>
            <w:tcW w:w="675" w:type="dxa"/>
            <w:tcBorders>
              <w:top w:val="nil"/>
              <w:left w:val="nil"/>
              <w:bottom w:val="double" w:sz="6" w:space="0" w:color="auto"/>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0,0%</w:t>
            </w:r>
          </w:p>
        </w:tc>
        <w:tc>
          <w:tcPr>
            <w:tcW w:w="675" w:type="dxa"/>
            <w:tcBorders>
              <w:top w:val="nil"/>
              <w:left w:val="nil"/>
              <w:bottom w:val="double" w:sz="6" w:space="0" w:color="auto"/>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-0,1%</w:t>
            </w:r>
          </w:p>
        </w:tc>
        <w:tc>
          <w:tcPr>
            <w:tcW w:w="815" w:type="dxa"/>
            <w:tcBorders>
              <w:top w:val="nil"/>
              <w:left w:val="nil"/>
              <w:bottom w:val="double" w:sz="6" w:space="0" w:color="auto"/>
              <w:right w:val="nil"/>
            </w:tcBorders>
            <w:shd w:val="clear" w:color="auto" w:fill="auto"/>
            <w:vAlign w:val="center"/>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r>
    </w:tbl>
    <w:p w:rsidR="003671B8" w:rsidRPr="00B54150" w:rsidRDefault="00FC5523" w:rsidP="003671B8">
      <w:pPr>
        <w:ind w:left="-851"/>
        <w:rPr>
          <w:rFonts w:ascii="Times New Roman" w:hAnsi="Times New Roman" w:cs="Times New Roman"/>
          <w:bCs/>
          <w:sz w:val="16"/>
          <w:szCs w:val="16"/>
        </w:rPr>
      </w:pPr>
      <w:r>
        <w:rPr>
          <w:rFonts w:ascii="Times New Roman" w:hAnsi="Times New Roman" w:cs="Times New Roman"/>
          <w:bCs/>
          <w:sz w:val="16"/>
          <w:szCs w:val="16"/>
          <w:u w:val="single"/>
        </w:rPr>
        <w:t xml:space="preserve"> </w:t>
      </w:r>
      <w:r w:rsidRPr="00FC5523">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Pr>
          <w:rFonts w:ascii="Times New Roman" w:hAnsi="Times New Roman" w:cs="Times New Roman"/>
          <w:bCs/>
          <w:sz w:val="16"/>
          <w:szCs w:val="16"/>
        </w:rPr>
        <w:t>avril</w:t>
      </w:r>
      <w:r w:rsidR="00A00B1E">
        <w:rPr>
          <w:rFonts w:ascii="Times New Roman" w:hAnsi="Times New Roman" w:cs="Times New Roman"/>
          <w:bCs/>
          <w:sz w:val="16"/>
          <w:szCs w:val="16"/>
        </w:rPr>
        <w:t xml:space="preserve"> 2021</w:t>
      </w:r>
    </w:p>
    <w:p w:rsidR="003671B8" w:rsidRDefault="003671B8" w:rsidP="003671B8">
      <w:pPr>
        <w:ind w:firstLine="708"/>
      </w:pPr>
    </w:p>
    <w:p w:rsidR="003671B8" w:rsidRDefault="003671B8" w:rsidP="003671B8">
      <w:pPr>
        <w:ind w:firstLine="708"/>
      </w:pPr>
    </w:p>
    <w:p w:rsidR="009A1366"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3</w:t>
      </w:r>
      <w:r w:rsidR="003671B8" w:rsidRPr="00EF65B5">
        <w:rPr>
          <w:rFonts w:ascii="Times New Roman" w:hAnsi="Times New Roman" w:cs="Times New Roman"/>
          <w:b/>
          <w:sz w:val="24"/>
          <w:szCs w:val="24"/>
        </w:rPr>
        <w:t> : IHP</w:t>
      </w:r>
      <w:r w:rsidR="00EA37C7">
        <w:rPr>
          <w:rFonts w:ascii="Times New Roman" w:hAnsi="Times New Roman" w:cs="Times New Roman"/>
          <w:b/>
          <w:sz w:val="24"/>
          <w:szCs w:val="24"/>
        </w:rPr>
        <w:t xml:space="preserve">C suivant les régions en </w:t>
      </w:r>
      <w:r w:rsidR="00FC5523">
        <w:rPr>
          <w:rFonts w:ascii="Times New Roman" w:hAnsi="Times New Roman" w:cs="Times New Roman"/>
          <w:b/>
          <w:sz w:val="24"/>
          <w:szCs w:val="24"/>
        </w:rPr>
        <w:t>avril</w:t>
      </w:r>
      <w:r w:rsidR="00A00B1E">
        <w:rPr>
          <w:rFonts w:ascii="Times New Roman" w:hAnsi="Times New Roman" w:cs="Times New Roman"/>
          <w:b/>
          <w:sz w:val="24"/>
          <w:szCs w:val="24"/>
        </w:rPr>
        <w:t xml:space="preserve"> 2021</w:t>
      </w:r>
    </w:p>
    <w:tbl>
      <w:tblPr>
        <w:tblW w:w="8554" w:type="dxa"/>
        <w:tblInd w:w="70" w:type="dxa"/>
        <w:tblCellMar>
          <w:left w:w="70" w:type="dxa"/>
          <w:right w:w="70" w:type="dxa"/>
        </w:tblCellMar>
        <w:tblLook w:val="04A0"/>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C41D2B" w:rsidRPr="0080208F" w:rsidTr="003671B8">
        <w:trPr>
          <w:trHeight w:val="300"/>
        </w:trPr>
        <w:tc>
          <w:tcPr>
            <w:tcW w:w="1536" w:type="dxa"/>
            <w:vMerge w:val="restart"/>
            <w:tcBorders>
              <w:top w:val="nil"/>
              <w:left w:val="nil"/>
              <w:bottom w:val="nil"/>
              <w:right w:val="nil"/>
            </w:tcBorders>
            <w:shd w:val="clear" w:color="000000" w:fill="00FFFF"/>
            <w:hideMark/>
          </w:tcPr>
          <w:p w:rsidR="00C41D2B" w:rsidRPr="0080208F" w:rsidRDefault="00C41D2B"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C41D2B" w:rsidRPr="0080208F" w:rsidRDefault="0033692A" w:rsidP="003671B8">
            <w:pPr>
              <w:rPr>
                <w:rFonts w:ascii="Times New Roman" w:hAnsi="Times New Roman" w:cs="Times New Roman"/>
                <w:b/>
                <w:bCs/>
                <w:sz w:val="18"/>
                <w:szCs w:val="18"/>
              </w:rPr>
            </w:pPr>
            <w:r>
              <w:rPr>
                <w:rFonts w:ascii="Times New Roman" w:hAnsi="Times New Roman" w:cs="Times New Roman"/>
                <w:b/>
                <w:bCs/>
                <w:sz w:val="18"/>
                <w:szCs w:val="18"/>
              </w:rPr>
              <w:t>avr.-20</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C41D2B" w:rsidRPr="004577D5" w:rsidRDefault="0033692A" w:rsidP="005A5C89">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763" w:type="dxa"/>
            <w:vMerge w:val="restart"/>
            <w:tcBorders>
              <w:top w:val="nil"/>
              <w:left w:val="nil"/>
              <w:bottom w:val="nil"/>
              <w:right w:val="nil"/>
            </w:tcBorders>
            <w:shd w:val="clear" w:color="000000" w:fill="00FFFF"/>
            <w:vAlign w:val="bottom"/>
            <w:hideMark/>
          </w:tcPr>
          <w:p w:rsidR="00C41D2B" w:rsidRPr="004577D5" w:rsidRDefault="00C41D2B" w:rsidP="005A5C89">
            <w:pPr>
              <w:jc w:val="center"/>
              <w:rPr>
                <w:rFonts w:ascii="Times New Roman" w:hAnsi="Times New Roman" w:cs="Times New Roman"/>
                <w:b/>
                <w:bCs/>
                <w:sz w:val="18"/>
                <w:szCs w:val="18"/>
              </w:rPr>
            </w:pPr>
            <w:r>
              <w:rPr>
                <w:rFonts w:ascii="Times New Roman" w:hAnsi="Times New Roman" w:cs="Times New Roman"/>
                <w:b/>
                <w:bCs/>
                <w:sz w:val="18"/>
                <w:szCs w:val="18"/>
              </w:rPr>
              <w:t>a</w:t>
            </w:r>
            <w:r w:rsidR="0033692A">
              <w:rPr>
                <w:rFonts w:ascii="Times New Roman" w:hAnsi="Times New Roman" w:cs="Times New Roman"/>
                <w:b/>
                <w:bCs/>
                <w:sz w:val="18"/>
                <w:szCs w:val="18"/>
              </w:rPr>
              <w:t>v</w:t>
            </w:r>
            <w:r>
              <w:rPr>
                <w:rFonts w:ascii="Times New Roman" w:hAnsi="Times New Roman" w:cs="Times New Roman"/>
                <w:b/>
                <w:bCs/>
                <w:sz w:val="18"/>
                <w:szCs w:val="18"/>
              </w:rPr>
              <w:t>r.-21</w:t>
            </w:r>
          </w:p>
        </w:tc>
        <w:tc>
          <w:tcPr>
            <w:tcW w:w="766"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33692A" w:rsidRPr="0080208F" w:rsidTr="00E65DE1">
        <w:trPr>
          <w:trHeight w:val="300"/>
        </w:trPr>
        <w:tc>
          <w:tcPr>
            <w:tcW w:w="1536"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3692A" w:rsidRPr="0080208F" w:rsidRDefault="0033692A"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3692A" w:rsidRPr="0080208F" w:rsidRDefault="0033692A" w:rsidP="005A5C89">
            <w:pPr>
              <w:jc w:val="center"/>
              <w:rPr>
                <w:rFonts w:ascii="Times New Roman" w:hAnsi="Times New Roman" w:cs="Times New Roman"/>
                <w:b/>
                <w:bCs/>
                <w:sz w:val="18"/>
                <w:szCs w:val="18"/>
              </w:rPr>
            </w:pPr>
            <w:r>
              <w:rPr>
                <w:rFonts w:ascii="Times New Roman" w:hAnsi="Times New Roman" w:cs="Times New Roman"/>
                <w:b/>
                <w:bCs/>
                <w:sz w:val="18"/>
                <w:szCs w:val="18"/>
              </w:rPr>
              <w:t>janv.-21</w:t>
            </w:r>
          </w:p>
        </w:tc>
        <w:tc>
          <w:tcPr>
            <w:tcW w:w="860" w:type="dxa"/>
            <w:tcBorders>
              <w:top w:val="nil"/>
              <w:left w:val="nil"/>
              <w:bottom w:val="nil"/>
              <w:right w:val="nil"/>
            </w:tcBorders>
            <w:shd w:val="clear" w:color="000000" w:fill="00FFFF"/>
            <w:vAlign w:val="bottom"/>
            <w:hideMark/>
          </w:tcPr>
          <w:p w:rsidR="0033692A" w:rsidRPr="0080208F" w:rsidRDefault="0033692A" w:rsidP="005A5C89">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763" w:type="dxa"/>
            <w:vMerge/>
            <w:tcBorders>
              <w:top w:val="nil"/>
              <w:left w:val="nil"/>
              <w:bottom w:val="nil"/>
              <w:right w:val="nil"/>
            </w:tcBorders>
            <w:vAlign w:val="bottom"/>
            <w:hideMark/>
          </w:tcPr>
          <w:p w:rsidR="0033692A" w:rsidRPr="0080208F" w:rsidRDefault="0033692A"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r>
      <w:tr w:rsidR="0033692A" w:rsidRPr="0080208F" w:rsidTr="00E65DE1">
        <w:trPr>
          <w:trHeight w:val="300"/>
        </w:trPr>
        <w:tc>
          <w:tcPr>
            <w:tcW w:w="1536" w:type="dxa"/>
            <w:tcBorders>
              <w:top w:val="nil"/>
              <w:left w:val="nil"/>
              <w:bottom w:val="nil"/>
              <w:right w:val="nil"/>
            </w:tcBorders>
            <w:shd w:val="clear" w:color="auto" w:fill="auto"/>
            <w:vAlign w:val="bottom"/>
            <w:hideMark/>
          </w:tcPr>
          <w:p w:rsidR="0033692A" w:rsidRPr="0080208F" w:rsidRDefault="0033692A" w:rsidP="003671B8">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33692A" w:rsidRPr="0080208F" w:rsidRDefault="0033692A"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103,8</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102,3</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103,2</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104,3</w:t>
            </w:r>
          </w:p>
        </w:tc>
        <w:tc>
          <w:tcPr>
            <w:tcW w:w="766" w:type="dxa"/>
            <w:tcBorders>
              <w:top w:val="nil"/>
              <w:left w:val="nil"/>
              <w:bottom w:val="nil"/>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w:t>
            </w:r>
          </w:p>
        </w:tc>
        <w:tc>
          <w:tcPr>
            <w:tcW w:w="765" w:type="dxa"/>
            <w:tcBorders>
              <w:top w:val="nil"/>
              <w:left w:val="nil"/>
              <w:bottom w:val="nil"/>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2,0%</w:t>
            </w:r>
          </w:p>
        </w:tc>
        <w:tc>
          <w:tcPr>
            <w:tcW w:w="765" w:type="dxa"/>
            <w:tcBorders>
              <w:top w:val="nil"/>
              <w:left w:val="nil"/>
              <w:bottom w:val="nil"/>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r>
      <w:tr w:rsidR="0033692A" w:rsidRPr="0080208F" w:rsidTr="003671B8">
        <w:trPr>
          <w:trHeight w:val="300"/>
        </w:trPr>
        <w:tc>
          <w:tcPr>
            <w:tcW w:w="1536" w:type="dxa"/>
            <w:tcBorders>
              <w:top w:val="nil"/>
              <w:left w:val="nil"/>
              <w:bottom w:val="nil"/>
              <w:right w:val="nil"/>
            </w:tcBorders>
            <w:shd w:val="clear" w:color="auto" w:fill="auto"/>
            <w:noWrap/>
            <w:vAlign w:val="bottom"/>
            <w:hideMark/>
          </w:tcPr>
          <w:p w:rsidR="0033692A" w:rsidRPr="0080208F" w:rsidRDefault="0033692A" w:rsidP="003671B8">
            <w:pPr>
              <w:rPr>
                <w:rFonts w:ascii="Times New Roman" w:hAnsi="Times New Roman" w:cs="Times New Roman"/>
                <w:sz w:val="18"/>
                <w:szCs w:val="18"/>
              </w:rPr>
            </w:pPr>
            <w:r w:rsidRPr="0080208F">
              <w:rPr>
                <w:rFonts w:ascii="Times New Roman" w:hAnsi="Times New Roman" w:cs="Times New Roman"/>
                <w:sz w:val="18"/>
                <w:szCs w:val="18"/>
              </w:rPr>
              <w:t>1. Sud ouest</w:t>
            </w:r>
          </w:p>
        </w:tc>
        <w:tc>
          <w:tcPr>
            <w:tcW w:w="712" w:type="dxa"/>
            <w:tcBorders>
              <w:top w:val="nil"/>
              <w:left w:val="nil"/>
              <w:bottom w:val="nil"/>
              <w:right w:val="nil"/>
            </w:tcBorders>
            <w:shd w:val="clear" w:color="auto" w:fill="auto"/>
            <w:vAlign w:val="bottom"/>
            <w:hideMark/>
          </w:tcPr>
          <w:p w:rsidR="0033692A" w:rsidRPr="0080208F" w:rsidRDefault="0033692A"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103,8</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103,9</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103,7</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104,2</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104,8</w:t>
            </w:r>
          </w:p>
        </w:tc>
        <w:tc>
          <w:tcPr>
            <w:tcW w:w="766" w:type="dxa"/>
            <w:tcBorders>
              <w:top w:val="nil"/>
              <w:left w:val="nil"/>
              <w:bottom w:val="nil"/>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0,6%</w:t>
            </w:r>
          </w:p>
        </w:tc>
        <w:tc>
          <w:tcPr>
            <w:tcW w:w="765" w:type="dxa"/>
            <w:tcBorders>
              <w:top w:val="nil"/>
              <w:left w:val="nil"/>
              <w:bottom w:val="nil"/>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0,9%</w:t>
            </w:r>
          </w:p>
        </w:tc>
        <w:tc>
          <w:tcPr>
            <w:tcW w:w="765" w:type="dxa"/>
            <w:tcBorders>
              <w:top w:val="nil"/>
              <w:left w:val="nil"/>
              <w:bottom w:val="nil"/>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w:t>
            </w:r>
          </w:p>
        </w:tc>
      </w:tr>
      <w:tr w:rsidR="0033692A" w:rsidRPr="0080208F" w:rsidTr="003671B8">
        <w:trPr>
          <w:trHeight w:val="300"/>
        </w:trPr>
        <w:tc>
          <w:tcPr>
            <w:tcW w:w="1536" w:type="dxa"/>
            <w:tcBorders>
              <w:top w:val="nil"/>
              <w:left w:val="nil"/>
              <w:bottom w:val="nil"/>
              <w:right w:val="nil"/>
            </w:tcBorders>
            <w:shd w:val="clear" w:color="auto" w:fill="auto"/>
            <w:noWrap/>
            <w:vAlign w:val="bottom"/>
            <w:hideMark/>
          </w:tcPr>
          <w:p w:rsidR="0033692A" w:rsidRPr="0080208F" w:rsidRDefault="0033692A" w:rsidP="003671B8">
            <w:pPr>
              <w:rPr>
                <w:rFonts w:ascii="Times New Roman" w:hAnsi="Times New Roman" w:cs="Times New Roman"/>
                <w:sz w:val="18"/>
                <w:szCs w:val="18"/>
              </w:rPr>
            </w:pPr>
            <w:r w:rsidRPr="0080208F">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33692A" w:rsidRPr="0080208F" w:rsidRDefault="0033692A"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101,6</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100,1</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99,8</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100,9</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103,0</w:t>
            </w:r>
          </w:p>
        </w:tc>
        <w:tc>
          <w:tcPr>
            <w:tcW w:w="766" w:type="dxa"/>
            <w:tcBorders>
              <w:top w:val="nil"/>
              <w:left w:val="nil"/>
              <w:bottom w:val="nil"/>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2,1%</w:t>
            </w:r>
          </w:p>
        </w:tc>
        <w:tc>
          <w:tcPr>
            <w:tcW w:w="765" w:type="dxa"/>
            <w:tcBorders>
              <w:top w:val="nil"/>
              <w:left w:val="nil"/>
              <w:bottom w:val="nil"/>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2,9%</w:t>
            </w:r>
          </w:p>
        </w:tc>
        <w:tc>
          <w:tcPr>
            <w:tcW w:w="765" w:type="dxa"/>
            <w:tcBorders>
              <w:top w:val="nil"/>
              <w:left w:val="nil"/>
              <w:bottom w:val="nil"/>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1,4%</w:t>
            </w:r>
          </w:p>
        </w:tc>
      </w:tr>
      <w:tr w:rsidR="0033692A" w:rsidRPr="0080208F" w:rsidTr="003671B8">
        <w:trPr>
          <w:trHeight w:val="300"/>
        </w:trPr>
        <w:tc>
          <w:tcPr>
            <w:tcW w:w="1536" w:type="dxa"/>
            <w:tcBorders>
              <w:top w:val="nil"/>
              <w:left w:val="nil"/>
              <w:bottom w:val="nil"/>
              <w:right w:val="nil"/>
            </w:tcBorders>
            <w:shd w:val="clear" w:color="auto" w:fill="auto"/>
            <w:noWrap/>
            <w:vAlign w:val="bottom"/>
            <w:hideMark/>
          </w:tcPr>
          <w:p w:rsidR="0033692A" w:rsidRPr="0080208F" w:rsidRDefault="0033692A" w:rsidP="003671B8">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33692A" w:rsidRPr="0080208F" w:rsidRDefault="0033692A"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101,5</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99,4</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99,3</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101,9</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103,9</w:t>
            </w:r>
          </w:p>
        </w:tc>
        <w:tc>
          <w:tcPr>
            <w:tcW w:w="766" w:type="dxa"/>
            <w:tcBorders>
              <w:top w:val="nil"/>
              <w:left w:val="nil"/>
              <w:bottom w:val="nil"/>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2,0%</w:t>
            </w:r>
          </w:p>
        </w:tc>
        <w:tc>
          <w:tcPr>
            <w:tcW w:w="765" w:type="dxa"/>
            <w:tcBorders>
              <w:top w:val="nil"/>
              <w:left w:val="nil"/>
              <w:bottom w:val="nil"/>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4,5%</w:t>
            </w:r>
          </w:p>
        </w:tc>
        <w:tc>
          <w:tcPr>
            <w:tcW w:w="765" w:type="dxa"/>
            <w:tcBorders>
              <w:top w:val="nil"/>
              <w:left w:val="nil"/>
              <w:bottom w:val="nil"/>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2,4%</w:t>
            </w:r>
          </w:p>
        </w:tc>
      </w:tr>
      <w:tr w:rsidR="0033692A" w:rsidRPr="0080208F" w:rsidTr="003671B8">
        <w:trPr>
          <w:trHeight w:val="300"/>
        </w:trPr>
        <w:tc>
          <w:tcPr>
            <w:tcW w:w="1536" w:type="dxa"/>
            <w:tcBorders>
              <w:top w:val="nil"/>
              <w:left w:val="nil"/>
              <w:bottom w:val="nil"/>
              <w:right w:val="nil"/>
            </w:tcBorders>
            <w:shd w:val="clear" w:color="auto" w:fill="auto"/>
            <w:noWrap/>
            <w:vAlign w:val="bottom"/>
            <w:hideMark/>
          </w:tcPr>
          <w:p w:rsidR="0033692A" w:rsidRPr="0080208F" w:rsidRDefault="0033692A" w:rsidP="003671B8">
            <w:pPr>
              <w:rPr>
                <w:rFonts w:ascii="Times New Roman" w:hAnsi="Times New Roman" w:cs="Times New Roman"/>
                <w:sz w:val="18"/>
                <w:szCs w:val="18"/>
              </w:rPr>
            </w:pPr>
            <w:r w:rsidRPr="0080208F">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33692A" w:rsidRPr="0080208F" w:rsidRDefault="0033692A"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114,1</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108,6</w:t>
            </w:r>
          </w:p>
        </w:tc>
        <w:tc>
          <w:tcPr>
            <w:tcW w:w="860"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109,9</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111,4</w:t>
            </w:r>
          </w:p>
        </w:tc>
        <w:tc>
          <w:tcPr>
            <w:tcW w:w="763" w:type="dxa"/>
            <w:tcBorders>
              <w:top w:val="nil"/>
              <w:left w:val="nil"/>
              <w:bottom w:val="nil"/>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113,5</w:t>
            </w:r>
          </w:p>
        </w:tc>
        <w:tc>
          <w:tcPr>
            <w:tcW w:w="766" w:type="dxa"/>
            <w:tcBorders>
              <w:top w:val="nil"/>
              <w:left w:val="nil"/>
              <w:bottom w:val="nil"/>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1,9%</w:t>
            </w:r>
          </w:p>
        </w:tc>
        <w:tc>
          <w:tcPr>
            <w:tcW w:w="765" w:type="dxa"/>
            <w:tcBorders>
              <w:top w:val="nil"/>
              <w:left w:val="nil"/>
              <w:bottom w:val="nil"/>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4,5%</w:t>
            </w:r>
          </w:p>
        </w:tc>
        <w:tc>
          <w:tcPr>
            <w:tcW w:w="765" w:type="dxa"/>
            <w:tcBorders>
              <w:top w:val="nil"/>
              <w:left w:val="nil"/>
              <w:bottom w:val="nil"/>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-0,5%</w:t>
            </w:r>
          </w:p>
        </w:tc>
      </w:tr>
      <w:tr w:rsidR="0033692A"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33692A" w:rsidRPr="0080208F" w:rsidRDefault="0033692A" w:rsidP="003671B8">
            <w:pPr>
              <w:rPr>
                <w:rFonts w:ascii="Times New Roman" w:hAnsi="Times New Roman" w:cs="Times New Roman"/>
                <w:sz w:val="18"/>
                <w:szCs w:val="18"/>
              </w:rPr>
            </w:pPr>
            <w:r w:rsidRPr="0080208F">
              <w:rPr>
                <w:rFonts w:ascii="Times New Roman" w:hAnsi="Times New Roman" w:cs="Times New Roman"/>
                <w:sz w:val="18"/>
                <w:szCs w:val="18"/>
              </w:rPr>
              <w:t>5. Nord ouest</w:t>
            </w:r>
          </w:p>
        </w:tc>
        <w:tc>
          <w:tcPr>
            <w:tcW w:w="712" w:type="dxa"/>
            <w:tcBorders>
              <w:top w:val="nil"/>
              <w:left w:val="nil"/>
              <w:bottom w:val="double" w:sz="6" w:space="0" w:color="auto"/>
              <w:right w:val="nil"/>
            </w:tcBorders>
            <w:shd w:val="clear" w:color="auto" w:fill="auto"/>
            <w:noWrap/>
            <w:vAlign w:val="bottom"/>
            <w:hideMark/>
          </w:tcPr>
          <w:p w:rsidR="0033692A" w:rsidRPr="0080208F" w:rsidRDefault="0033692A" w:rsidP="003671B8">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100,8</w:t>
            </w:r>
          </w:p>
        </w:tc>
        <w:tc>
          <w:tcPr>
            <w:tcW w:w="860" w:type="dxa"/>
            <w:tcBorders>
              <w:top w:val="nil"/>
              <w:left w:val="nil"/>
              <w:bottom w:val="double" w:sz="6" w:space="0" w:color="auto"/>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92,6</w:t>
            </w:r>
          </w:p>
        </w:tc>
        <w:tc>
          <w:tcPr>
            <w:tcW w:w="860" w:type="dxa"/>
            <w:tcBorders>
              <w:top w:val="nil"/>
              <w:left w:val="nil"/>
              <w:bottom w:val="double" w:sz="6" w:space="0" w:color="auto"/>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92,7</w:t>
            </w:r>
          </w:p>
        </w:tc>
        <w:tc>
          <w:tcPr>
            <w:tcW w:w="763" w:type="dxa"/>
            <w:tcBorders>
              <w:top w:val="nil"/>
              <w:left w:val="nil"/>
              <w:bottom w:val="double" w:sz="6" w:space="0" w:color="auto"/>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93,5</w:t>
            </w:r>
          </w:p>
        </w:tc>
        <w:tc>
          <w:tcPr>
            <w:tcW w:w="763" w:type="dxa"/>
            <w:tcBorders>
              <w:top w:val="nil"/>
              <w:left w:val="nil"/>
              <w:bottom w:val="double" w:sz="6" w:space="0" w:color="auto"/>
              <w:right w:val="nil"/>
            </w:tcBorders>
            <w:shd w:val="clear" w:color="auto" w:fill="auto"/>
            <w:noWrap/>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93,6</w:t>
            </w:r>
          </w:p>
        </w:tc>
        <w:tc>
          <w:tcPr>
            <w:tcW w:w="766" w:type="dxa"/>
            <w:tcBorders>
              <w:top w:val="nil"/>
              <w:left w:val="nil"/>
              <w:bottom w:val="double" w:sz="6" w:space="0" w:color="auto"/>
              <w:right w:val="nil"/>
            </w:tcBorders>
            <w:shd w:val="clear" w:color="000000" w:fill="CCFFCC"/>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0,1%</w:t>
            </w:r>
          </w:p>
        </w:tc>
        <w:tc>
          <w:tcPr>
            <w:tcW w:w="765" w:type="dxa"/>
            <w:tcBorders>
              <w:top w:val="nil"/>
              <w:left w:val="nil"/>
              <w:bottom w:val="double" w:sz="6" w:space="0" w:color="auto"/>
              <w:right w:val="nil"/>
            </w:tcBorders>
            <w:shd w:val="clear" w:color="000000" w:fill="99CC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1,1%</w:t>
            </w:r>
          </w:p>
        </w:tc>
        <w:tc>
          <w:tcPr>
            <w:tcW w:w="765" w:type="dxa"/>
            <w:tcBorders>
              <w:top w:val="nil"/>
              <w:left w:val="nil"/>
              <w:bottom w:val="double" w:sz="6" w:space="0" w:color="auto"/>
              <w:right w:val="nil"/>
            </w:tcBorders>
            <w:shd w:val="clear" w:color="000000" w:fill="CC99FF"/>
            <w:vAlign w:val="bottom"/>
            <w:hideMark/>
          </w:tcPr>
          <w:p w:rsidR="0033692A" w:rsidRPr="0033692A" w:rsidRDefault="0033692A">
            <w:pPr>
              <w:jc w:val="right"/>
              <w:rPr>
                <w:rFonts w:ascii="Times New Roman" w:hAnsi="Times New Roman" w:cs="Times New Roman"/>
                <w:sz w:val="18"/>
                <w:szCs w:val="18"/>
              </w:rPr>
            </w:pPr>
            <w:r w:rsidRPr="0033692A">
              <w:rPr>
                <w:rFonts w:ascii="Times New Roman" w:hAnsi="Times New Roman" w:cs="Times New Roman"/>
                <w:sz w:val="18"/>
                <w:szCs w:val="18"/>
              </w:rPr>
              <w:t>-7,1%</w:t>
            </w:r>
          </w:p>
        </w:tc>
      </w:tr>
    </w:tbl>
    <w:p w:rsidR="003671B8" w:rsidRPr="00583FBC"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FC5523">
        <w:rPr>
          <w:rFonts w:ascii="Times New Roman" w:hAnsi="Times New Roman" w:cs="Times New Roman"/>
          <w:bCs/>
          <w:sz w:val="16"/>
          <w:szCs w:val="16"/>
        </w:rPr>
        <w:t>avril</w:t>
      </w:r>
      <w:r w:rsidR="00A00B1E">
        <w:rPr>
          <w:rFonts w:ascii="Times New Roman" w:hAnsi="Times New Roman" w:cs="Times New Roman"/>
          <w:bCs/>
          <w:sz w:val="16"/>
          <w:szCs w:val="16"/>
        </w:rPr>
        <w:t xml:space="preserve"> 2021</w:t>
      </w:r>
    </w:p>
    <w:p w:rsidR="00C41D2B" w:rsidRDefault="00C41D2B" w:rsidP="003671B8">
      <w:pPr>
        <w:jc w:val="both"/>
        <w:rPr>
          <w:b/>
          <w:bCs/>
          <w:i/>
          <w:iCs/>
        </w:rPr>
      </w:pPr>
    </w:p>
    <w:p w:rsidR="003671B8" w:rsidRPr="00324CD7" w:rsidRDefault="003671B8" w:rsidP="00EF65B5">
      <w:pPr>
        <w:rPr>
          <w:b/>
          <w:bCs/>
          <w:i/>
          <w:iCs/>
        </w:rPr>
      </w:pPr>
      <w:r w:rsidRPr="00EF65B5">
        <w:rPr>
          <w:rFonts w:ascii="Times New Roman" w:hAnsi="Times New Roman" w:cs="Times New Roman"/>
          <w:b/>
          <w:sz w:val="24"/>
          <w:szCs w:val="24"/>
        </w:rPr>
        <w:lastRenderedPageBreak/>
        <w:t xml:space="preserve">Tableau </w:t>
      </w:r>
      <w:r w:rsidR="009A1366">
        <w:rPr>
          <w:rFonts w:ascii="Times New Roman" w:hAnsi="Times New Roman" w:cs="Times New Roman"/>
          <w:b/>
          <w:sz w:val="24"/>
          <w:szCs w:val="24"/>
        </w:rPr>
        <w:t>4</w:t>
      </w:r>
      <w:r w:rsidRPr="00EF65B5">
        <w:rPr>
          <w:rFonts w:ascii="Times New Roman" w:hAnsi="Times New Roman" w:cs="Times New Roman"/>
          <w:b/>
          <w:sz w:val="24"/>
          <w:szCs w:val="24"/>
        </w:rPr>
        <w:t xml:space="preserve"> : Prix moyens (en F.CFA) de certains produits de première nécessité dans </w:t>
      </w:r>
      <w:r w:rsidR="00EA37C7">
        <w:rPr>
          <w:rFonts w:ascii="Times New Roman" w:hAnsi="Times New Roman" w:cs="Times New Roman"/>
          <w:b/>
          <w:sz w:val="24"/>
          <w:szCs w:val="24"/>
        </w:rPr>
        <w:t xml:space="preserve">les grandes villes en </w:t>
      </w:r>
      <w:r w:rsidR="00FC5523">
        <w:rPr>
          <w:rFonts w:ascii="Times New Roman" w:hAnsi="Times New Roman" w:cs="Times New Roman"/>
          <w:b/>
          <w:sz w:val="24"/>
          <w:szCs w:val="24"/>
        </w:rPr>
        <w:t>avril</w:t>
      </w:r>
      <w:r w:rsidRPr="00EF65B5">
        <w:rPr>
          <w:rFonts w:ascii="Times New Roman" w:hAnsi="Times New Roman" w:cs="Times New Roman"/>
          <w:b/>
          <w:sz w:val="24"/>
          <w:szCs w:val="24"/>
        </w:rPr>
        <w:t xml:space="preserve"> 202</w:t>
      </w:r>
      <w:r w:rsidR="00CB0B44">
        <w:rPr>
          <w:rFonts w:ascii="Times New Roman" w:hAnsi="Times New Roman" w:cs="Times New Roman"/>
          <w:b/>
          <w:sz w:val="24"/>
          <w:szCs w:val="24"/>
        </w:rPr>
        <w:t>1</w:t>
      </w:r>
    </w:p>
    <w:tbl>
      <w:tblPr>
        <w:tblW w:w="10393" w:type="dxa"/>
        <w:tblInd w:w="56" w:type="dxa"/>
        <w:tblLayout w:type="fixed"/>
        <w:tblCellMar>
          <w:left w:w="70" w:type="dxa"/>
          <w:right w:w="70" w:type="dxa"/>
        </w:tblCellMar>
        <w:tblLook w:val="04A0"/>
      </w:tblPr>
      <w:tblGrid>
        <w:gridCol w:w="3535"/>
        <w:gridCol w:w="992"/>
        <w:gridCol w:w="992"/>
        <w:gridCol w:w="1011"/>
        <w:gridCol w:w="992"/>
        <w:gridCol w:w="910"/>
        <w:gridCol w:w="991"/>
        <w:gridCol w:w="970"/>
      </w:tblGrid>
      <w:tr w:rsidR="003671B8" w:rsidRPr="0058147B"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58147B" w:rsidRDefault="003671B8" w:rsidP="003671B8">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3671B8" w:rsidRPr="0058147B" w:rsidTr="003671B8">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bookmarkStart w:id="0" w:name="RANGE!F5"/>
            <w:r w:rsidRPr="0058147B">
              <w:rPr>
                <w:rFonts w:ascii="Times New Roman" w:hAnsi="Times New Roman" w:cs="Times New Roman"/>
                <w:color w:val="000000"/>
                <w:sz w:val="18"/>
                <w:szCs w:val="18"/>
              </w:rPr>
              <w:t>Bohicon</w:t>
            </w:r>
            <w:bookmarkEnd w:id="0"/>
          </w:p>
        </w:tc>
        <w:tc>
          <w:tcPr>
            <w:tcW w:w="99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r>
      <w:tr w:rsidR="00E65DE1" w:rsidRPr="0058147B"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296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258</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247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211</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235</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244</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248</w:t>
            </w:r>
          </w:p>
        </w:tc>
      </w:tr>
      <w:tr w:rsidR="00E65DE1" w:rsidRPr="0058147B"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498</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496</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596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507</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526</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489</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519</w:t>
            </w:r>
          </w:p>
        </w:tc>
      </w:tr>
      <w:tr w:rsidR="00E65DE1" w:rsidRPr="0058147B"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544</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473</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357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266</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339</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411</w:t>
            </w:r>
          </w:p>
        </w:tc>
      </w:tr>
      <w:tr w:rsidR="00E65DE1" w:rsidRPr="0058147B"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582</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470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406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352</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417</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453</w:t>
            </w:r>
          </w:p>
        </w:tc>
      </w:tr>
      <w:tr w:rsidR="00E65DE1" w:rsidRPr="0058147B"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436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372</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419</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488</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438</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340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415</w:t>
            </w:r>
          </w:p>
        </w:tc>
      </w:tr>
      <w:tr w:rsidR="00E65DE1" w:rsidRPr="0058147B"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475</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496</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483</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448</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502</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483</w:t>
            </w:r>
          </w:p>
        </w:tc>
      </w:tr>
      <w:tr w:rsidR="00E65DE1" w:rsidRPr="0058147B"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753</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636</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752</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519</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676</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594</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655</w:t>
            </w:r>
          </w:p>
        </w:tc>
      </w:tr>
      <w:tr w:rsidR="00E65DE1" w:rsidRPr="0058147B"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480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260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242</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391</w:t>
            </w:r>
          </w:p>
        </w:tc>
      </w:tr>
      <w:tr w:rsidR="00E65DE1" w:rsidRPr="0058147B"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606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608</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619</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565</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493</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565</w:t>
            </w:r>
          </w:p>
        </w:tc>
      </w:tr>
      <w:tr w:rsidR="00E65DE1" w:rsidRPr="0058147B"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966</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879</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597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977</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907</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758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847</w:t>
            </w:r>
          </w:p>
        </w:tc>
      </w:tr>
      <w:tr w:rsidR="00E65DE1" w:rsidRPr="0058147B"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241</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250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257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405</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208</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254</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269</w:t>
            </w:r>
          </w:p>
        </w:tc>
      </w:tr>
      <w:tr w:rsidR="00E65DE1" w:rsidRPr="0058147B"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1 133</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1 129</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1 200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1 100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929</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1 065</w:t>
            </w:r>
          </w:p>
        </w:tc>
      </w:tr>
      <w:tr w:rsidR="00E65DE1" w:rsidRPr="0058147B"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813</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596</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575</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692</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763</w:t>
            </w:r>
          </w:p>
        </w:tc>
      </w:tr>
      <w:tr w:rsidR="00E65DE1" w:rsidRPr="0058147B"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577</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650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550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513</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557</w:t>
            </w:r>
          </w:p>
        </w:tc>
      </w:tr>
      <w:tr w:rsidR="00E65DE1" w:rsidRPr="0058147B"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Essence Kpayo (1 L)</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371</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379</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413</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388</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375</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388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385</w:t>
            </w:r>
          </w:p>
        </w:tc>
      </w:tr>
      <w:tr w:rsidR="00E65DE1"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3 357</w:t>
            </w:r>
          </w:p>
        </w:tc>
      </w:tr>
      <w:tr w:rsidR="00E65DE1"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6 954</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6 881</w:t>
            </w:r>
          </w:p>
        </w:tc>
      </w:tr>
      <w:tr w:rsidR="00E65DE1" w:rsidRPr="0058147B"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(Silvi)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1 417</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1 300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1 375</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1 400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1 467</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1 360</w:t>
            </w:r>
          </w:p>
        </w:tc>
      </w:tr>
      <w:tr w:rsidR="00E65DE1"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2 725</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2 404</w:t>
            </w:r>
          </w:p>
        </w:tc>
      </w:tr>
      <w:tr w:rsidR="00E65DE1" w:rsidRPr="0058147B"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2 725</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2 621</w:t>
            </w:r>
          </w:p>
        </w:tc>
      </w:tr>
      <w:tr w:rsidR="00E65DE1"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5 450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5 258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5 618</w:t>
            </w:r>
          </w:p>
        </w:tc>
      </w:tr>
      <w:tr w:rsidR="00E65DE1" w:rsidRPr="0058147B"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1 142</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1 004</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1 021</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1 028</w:t>
            </w:r>
          </w:p>
        </w:tc>
      </w:tr>
      <w:tr w:rsidR="00E65DE1" w:rsidRPr="0058147B"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''Cèbon''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1 031</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983</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938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992</w:t>
            </w:r>
          </w:p>
        </w:tc>
      </w:tr>
      <w:tr w:rsidR="00E65DE1" w:rsidRPr="0058147B"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475</w:t>
            </w:r>
          </w:p>
        </w:tc>
      </w:tr>
      <w:tr w:rsidR="00E65DE1" w:rsidRPr="0058147B"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''Matanti'' (1 KG)</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373</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346</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338</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368</w:t>
            </w:r>
          </w:p>
        </w:tc>
      </w:tr>
      <w:tr w:rsidR="00E65DE1"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68 000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69 000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78 000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240F78">
            <w:pPr>
              <w:jc w:val="center"/>
              <w:rPr>
                <w:rFonts w:ascii="Times New Roman" w:hAnsi="Times New Roman" w:cs="Times New Roman"/>
                <w:color w:val="000000"/>
                <w:sz w:val="18"/>
                <w:szCs w:val="18"/>
              </w:rPr>
            </w:pPr>
            <w:r>
              <w:rPr>
                <w:rFonts w:ascii="Times New Roman" w:hAnsi="Times New Roman" w:cs="Times New Roman"/>
                <w:color w:val="000000"/>
                <w:sz w:val="18"/>
                <w:szCs w:val="18"/>
              </w:rPr>
              <w:t>70 000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w:t>
            </w:r>
            <w:r w:rsidR="00D21A64">
              <w:rPr>
                <w:rFonts w:ascii="Times New Roman" w:hAnsi="Times New Roman" w:cs="Times New Roman"/>
                <w:color w:val="000000"/>
                <w:sz w:val="18"/>
                <w:szCs w:val="18"/>
              </w:rPr>
              <w:t>1 000</w:t>
            </w:r>
          </w:p>
        </w:tc>
      </w:tr>
      <w:tr w:rsidR="00E65DE1"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70 000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68 917</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78 000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69 500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71 236</w:t>
            </w:r>
          </w:p>
        </w:tc>
      </w:tr>
      <w:tr w:rsidR="00E65DE1" w:rsidRPr="0058147B"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532 500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493 750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504 375</w:t>
            </w:r>
          </w:p>
        </w:tc>
      </w:tr>
      <w:tr w:rsidR="00E65DE1"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E65DE1" w:rsidRPr="0058147B" w:rsidRDefault="00E65DE1"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532 500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496 000</w:t>
            </w:r>
          </w:p>
        </w:tc>
        <w:tc>
          <w:tcPr>
            <w:tcW w:w="992"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E65DE1" w:rsidRPr="00E65DE1" w:rsidRDefault="00E65DE1">
            <w:pPr>
              <w:jc w:val="center"/>
              <w:rPr>
                <w:rFonts w:ascii="Times New Roman" w:hAnsi="Times New Roman" w:cs="Times New Roman"/>
                <w:color w:val="000000"/>
                <w:sz w:val="18"/>
                <w:szCs w:val="18"/>
              </w:rPr>
            </w:pPr>
            <w:r w:rsidRPr="00E65DE1">
              <w:rPr>
                <w:rFonts w:ascii="Times New Roman" w:hAnsi="Times New Roman" w:cs="Times New Roman"/>
                <w:color w:val="000000"/>
                <w:sz w:val="18"/>
                <w:szCs w:val="18"/>
              </w:rPr>
              <w:t>504 750</w:t>
            </w:r>
          </w:p>
        </w:tc>
      </w:tr>
    </w:tbl>
    <w:p w:rsidR="003671B8" w:rsidRDefault="002370EA" w:rsidP="003671B8">
      <w:pPr>
        <w:ind w:left="-851"/>
        <w:rPr>
          <w:bCs/>
          <w:sz w:val="16"/>
          <w:szCs w:val="16"/>
        </w:rPr>
      </w:pPr>
      <w:r w:rsidRPr="002370EA">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Pr>
          <w:bCs/>
          <w:sz w:val="16"/>
          <w:szCs w:val="16"/>
        </w:rPr>
        <w:t xml:space="preserve"> avril</w:t>
      </w:r>
      <w:r w:rsidR="00F22D57">
        <w:rPr>
          <w:bCs/>
          <w:sz w:val="16"/>
          <w:szCs w:val="16"/>
        </w:rPr>
        <w:t xml:space="preserve"> 2021</w:t>
      </w:r>
    </w:p>
    <w:p w:rsidR="00D670C6" w:rsidRDefault="00D670C6" w:rsidP="003671B8">
      <w:pPr>
        <w:ind w:left="-851"/>
        <w:rPr>
          <w:bCs/>
          <w:sz w:val="16"/>
          <w:szCs w:val="16"/>
        </w:rPr>
      </w:pPr>
    </w:p>
    <w:p w:rsidR="00D670C6" w:rsidRDefault="00D670C6" w:rsidP="003671B8">
      <w:pPr>
        <w:ind w:left="-851"/>
        <w:rPr>
          <w:bCs/>
          <w:sz w:val="16"/>
          <w:szCs w:val="16"/>
        </w:rPr>
      </w:pPr>
    </w:p>
    <w:p w:rsidR="00D670C6" w:rsidRDefault="00D670C6" w:rsidP="003671B8">
      <w:pPr>
        <w:ind w:left="-851"/>
        <w:rPr>
          <w:bCs/>
          <w:sz w:val="16"/>
          <w:szCs w:val="16"/>
        </w:rPr>
      </w:pPr>
    </w:p>
    <w:p w:rsidR="003671B8" w:rsidRDefault="003671B8" w:rsidP="003671B8">
      <w:pPr>
        <w:rPr>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5</w:t>
      </w:r>
      <w:r w:rsidR="003671B8" w:rsidRPr="00EF65B5">
        <w:rPr>
          <w:rFonts w:ascii="Times New Roman" w:hAnsi="Times New Roman" w:cs="Times New Roman"/>
          <w:b/>
          <w:sz w:val="24"/>
          <w:szCs w:val="24"/>
        </w:rPr>
        <w:t> : Evolution du taux d’inflation dans les pays de l’UEMOA</w:t>
      </w:r>
    </w:p>
    <w:tbl>
      <w:tblPr>
        <w:tblW w:w="10276" w:type="dxa"/>
        <w:tblCellMar>
          <w:left w:w="70" w:type="dxa"/>
          <w:right w:w="70" w:type="dxa"/>
        </w:tblCellMar>
        <w:tblLook w:val="04A0"/>
      </w:tblPr>
      <w:tblGrid>
        <w:gridCol w:w="999"/>
        <w:gridCol w:w="850"/>
        <w:gridCol w:w="731"/>
        <w:gridCol w:w="759"/>
        <w:gridCol w:w="777"/>
        <w:gridCol w:w="759"/>
        <w:gridCol w:w="747"/>
        <w:gridCol w:w="719"/>
        <w:gridCol w:w="586"/>
        <w:gridCol w:w="650"/>
        <w:gridCol w:w="632"/>
        <w:gridCol w:w="771"/>
        <w:gridCol w:w="616"/>
        <w:gridCol w:w="680"/>
      </w:tblGrid>
      <w:tr w:rsidR="00785524" w:rsidRPr="00EF0798" w:rsidTr="00785524">
        <w:trPr>
          <w:trHeight w:val="331"/>
        </w:trPr>
        <w:tc>
          <w:tcPr>
            <w:tcW w:w="999" w:type="dxa"/>
            <w:tcBorders>
              <w:top w:val="double" w:sz="6" w:space="0" w:color="auto"/>
              <w:left w:val="nil"/>
              <w:bottom w:val="single" w:sz="8" w:space="0" w:color="auto"/>
              <w:right w:val="nil"/>
            </w:tcBorders>
            <w:shd w:val="clear" w:color="000000" w:fill="00FFFF"/>
            <w:vAlign w:val="bottom"/>
            <w:hideMark/>
          </w:tcPr>
          <w:p w:rsidR="00785524" w:rsidRPr="00EF0798" w:rsidRDefault="00785524"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50" w:type="dxa"/>
            <w:tcBorders>
              <w:top w:val="double" w:sz="6" w:space="0" w:color="auto"/>
              <w:left w:val="nil"/>
              <w:bottom w:val="single" w:sz="8" w:space="0" w:color="auto"/>
              <w:right w:val="nil"/>
            </w:tcBorders>
            <w:shd w:val="clear" w:color="000000" w:fill="00FFFF"/>
            <w:vAlign w:val="bottom"/>
            <w:hideMark/>
          </w:tcPr>
          <w:p w:rsidR="00785524" w:rsidRPr="00EF0798" w:rsidRDefault="00785524"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731" w:type="dxa"/>
            <w:tcBorders>
              <w:top w:val="double" w:sz="6" w:space="0" w:color="auto"/>
              <w:left w:val="nil"/>
              <w:bottom w:val="single" w:sz="8" w:space="0" w:color="auto"/>
              <w:right w:val="nil"/>
            </w:tcBorders>
            <w:shd w:val="clear" w:color="000000" w:fill="00FFFF"/>
            <w:vAlign w:val="bottom"/>
            <w:hideMark/>
          </w:tcPr>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avr.-20</w:t>
            </w:r>
          </w:p>
        </w:tc>
        <w:tc>
          <w:tcPr>
            <w:tcW w:w="759" w:type="dxa"/>
            <w:tcBorders>
              <w:top w:val="double" w:sz="6" w:space="0" w:color="auto"/>
              <w:left w:val="nil"/>
              <w:bottom w:val="single" w:sz="8" w:space="0" w:color="auto"/>
              <w:right w:val="nil"/>
            </w:tcBorders>
            <w:shd w:val="clear" w:color="000000" w:fill="00FFFF"/>
            <w:vAlign w:val="bottom"/>
            <w:hideMark/>
          </w:tcPr>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mai.-20</w:t>
            </w:r>
          </w:p>
        </w:tc>
        <w:tc>
          <w:tcPr>
            <w:tcW w:w="777" w:type="dxa"/>
            <w:tcBorders>
              <w:top w:val="double" w:sz="6" w:space="0" w:color="auto"/>
              <w:left w:val="nil"/>
              <w:bottom w:val="single" w:sz="8" w:space="0" w:color="auto"/>
              <w:right w:val="nil"/>
            </w:tcBorders>
            <w:shd w:val="clear" w:color="000000" w:fill="00FFFF"/>
            <w:vAlign w:val="bottom"/>
            <w:hideMark/>
          </w:tcPr>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juin.-20</w:t>
            </w:r>
          </w:p>
        </w:tc>
        <w:tc>
          <w:tcPr>
            <w:tcW w:w="759" w:type="dxa"/>
            <w:tcBorders>
              <w:top w:val="double" w:sz="6" w:space="0" w:color="auto"/>
              <w:left w:val="nil"/>
              <w:bottom w:val="single" w:sz="8" w:space="0" w:color="auto"/>
              <w:right w:val="nil"/>
            </w:tcBorders>
            <w:shd w:val="clear" w:color="000000" w:fill="00FFFF"/>
            <w:vAlign w:val="bottom"/>
            <w:hideMark/>
          </w:tcPr>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juil.-20</w:t>
            </w:r>
          </w:p>
        </w:tc>
        <w:tc>
          <w:tcPr>
            <w:tcW w:w="747" w:type="dxa"/>
            <w:tcBorders>
              <w:top w:val="double" w:sz="6" w:space="0" w:color="auto"/>
              <w:left w:val="nil"/>
              <w:bottom w:val="single" w:sz="8" w:space="0" w:color="auto"/>
              <w:right w:val="nil"/>
            </w:tcBorders>
            <w:shd w:val="clear" w:color="000000" w:fill="00FFFF"/>
          </w:tcPr>
          <w:p w:rsidR="00785524" w:rsidRPr="00FE17DC" w:rsidRDefault="00785524" w:rsidP="003671B8">
            <w:pPr>
              <w:jc w:val="center"/>
              <w:rPr>
                <w:rFonts w:ascii="Times New Roman" w:hAnsi="Times New Roman" w:cs="Times New Roman"/>
                <w:b/>
                <w:bCs/>
                <w:sz w:val="16"/>
                <w:szCs w:val="16"/>
              </w:rPr>
            </w:pPr>
          </w:p>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août.-20</w:t>
            </w:r>
          </w:p>
        </w:tc>
        <w:tc>
          <w:tcPr>
            <w:tcW w:w="719" w:type="dxa"/>
            <w:tcBorders>
              <w:top w:val="double" w:sz="6" w:space="0" w:color="auto"/>
              <w:left w:val="nil"/>
              <w:bottom w:val="single" w:sz="8" w:space="0" w:color="auto"/>
              <w:right w:val="nil"/>
            </w:tcBorders>
            <w:shd w:val="clear" w:color="000000" w:fill="00FFFF"/>
          </w:tcPr>
          <w:p w:rsidR="00785524" w:rsidRPr="00FE17DC" w:rsidRDefault="00785524" w:rsidP="003671B8">
            <w:pPr>
              <w:jc w:val="center"/>
              <w:rPr>
                <w:rFonts w:ascii="Times New Roman" w:hAnsi="Times New Roman" w:cs="Times New Roman"/>
                <w:b/>
                <w:bCs/>
                <w:sz w:val="16"/>
                <w:szCs w:val="16"/>
              </w:rPr>
            </w:pPr>
          </w:p>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sept.-20</w:t>
            </w:r>
          </w:p>
        </w:tc>
        <w:tc>
          <w:tcPr>
            <w:tcW w:w="586" w:type="dxa"/>
            <w:tcBorders>
              <w:top w:val="double" w:sz="6" w:space="0" w:color="auto"/>
              <w:left w:val="nil"/>
              <w:bottom w:val="single" w:sz="8" w:space="0" w:color="auto"/>
              <w:right w:val="nil"/>
            </w:tcBorders>
            <w:shd w:val="clear" w:color="000000" w:fill="00FFFF"/>
          </w:tcPr>
          <w:p w:rsidR="00785524" w:rsidRPr="00FE17DC" w:rsidRDefault="00785524" w:rsidP="003671B8">
            <w:pPr>
              <w:jc w:val="center"/>
              <w:rPr>
                <w:rFonts w:ascii="Times New Roman" w:hAnsi="Times New Roman" w:cs="Times New Roman"/>
                <w:b/>
                <w:bCs/>
                <w:sz w:val="16"/>
                <w:szCs w:val="16"/>
              </w:rPr>
            </w:pPr>
          </w:p>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oct.20</w:t>
            </w:r>
          </w:p>
        </w:tc>
        <w:tc>
          <w:tcPr>
            <w:tcW w:w="650" w:type="dxa"/>
            <w:tcBorders>
              <w:top w:val="double" w:sz="6" w:space="0" w:color="auto"/>
              <w:left w:val="nil"/>
              <w:bottom w:val="single" w:sz="8" w:space="0" w:color="auto"/>
              <w:right w:val="nil"/>
            </w:tcBorders>
            <w:shd w:val="clear" w:color="000000" w:fill="00FFFF"/>
          </w:tcPr>
          <w:p w:rsidR="00785524" w:rsidRPr="00FE17DC" w:rsidRDefault="00785524" w:rsidP="003671B8">
            <w:pPr>
              <w:jc w:val="center"/>
              <w:rPr>
                <w:rFonts w:ascii="Times New Roman" w:hAnsi="Times New Roman" w:cs="Times New Roman"/>
                <w:b/>
                <w:bCs/>
                <w:sz w:val="16"/>
                <w:szCs w:val="16"/>
              </w:rPr>
            </w:pPr>
          </w:p>
          <w:p w:rsidR="00785524" w:rsidRPr="00FE17DC" w:rsidRDefault="00785524"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nov.-20</w:t>
            </w:r>
          </w:p>
        </w:tc>
        <w:tc>
          <w:tcPr>
            <w:tcW w:w="632" w:type="dxa"/>
            <w:tcBorders>
              <w:top w:val="double" w:sz="6" w:space="0" w:color="auto"/>
              <w:left w:val="nil"/>
              <w:bottom w:val="single" w:sz="8" w:space="0" w:color="auto"/>
              <w:right w:val="nil"/>
            </w:tcBorders>
            <w:shd w:val="clear" w:color="000000" w:fill="00FFFF"/>
          </w:tcPr>
          <w:p w:rsidR="00785524" w:rsidRPr="00FE17DC" w:rsidRDefault="00785524" w:rsidP="003671B8">
            <w:pPr>
              <w:jc w:val="center"/>
              <w:rPr>
                <w:rFonts w:ascii="Times New Roman" w:hAnsi="Times New Roman" w:cs="Times New Roman"/>
                <w:b/>
                <w:bCs/>
                <w:sz w:val="16"/>
                <w:szCs w:val="16"/>
              </w:rPr>
            </w:pPr>
          </w:p>
          <w:p w:rsidR="00785524" w:rsidRPr="00FE17DC" w:rsidRDefault="00785524" w:rsidP="00A00B1E">
            <w:pPr>
              <w:rPr>
                <w:rFonts w:ascii="Times New Roman" w:hAnsi="Times New Roman" w:cs="Times New Roman"/>
                <w:b/>
                <w:bCs/>
                <w:sz w:val="16"/>
                <w:szCs w:val="16"/>
              </w:rPr>
            </w:pPr>
            <w:r w:rsidRPr="00FE17DC">
              <w:rPr>
                <w:rFonts w:ascii="Times New Roman" w:hAnsi="Times New Roman" w:cs="Times New Roman"/>
                <w:b/>
                <w:bCs/>
                <w:sz w:val="16"/>
                <w:szCs w:val="16"/>
              </w:rPr>
              <w:t>déc.-20</w:t>
            </w:r>
          </w:p>
        </w:tc>
        <w:tc>
          <w:tcPr>
            <w:tcW w:w="771" w:type="dxa"/>
            <w:tcBorders>
              <w:top w:val="double" w:sz="6" w:space="0" w:color="auto"/>
              <w:left w:val="nil"/>
              <w:bottom w:val="single" w:sz="8" w:space="0" w:color="auto"/>
              <w:right w:val="nil"/>
            </w:tcBorders>
            <w:shd w:val="clear" w:color="000000" w:fill="00FFFF"/>
            <w:vAlign w:val="bottom"/>
          </w:tcPr>
          <w:p w:rsidR="00785524" w:rsidRPr="00FE17DC" w:rsidRDefault="00785524"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janv.-21</w:t>
            </w:r>
          </w:p>
        </w:tc>
        <w:tc>
          <w:tcPr>
            <w:tcW w:w="616" w:type="dxa"/>
            <w:tcBorders>
              <w:top w:val="double" w:sz="6" w:space="0" w:color="auto"/>
              <w:left w:val="nil"/>
              <w:bottom w:val="single" w:sz="8" w:space="0" w:color="auto"/>
              <w:right w:val="nil"/>
            </w:tcBorders>
            <w:shd w:val="clear" w:color="000000" w:fill="00FFFF"/>
          </w:tcPr>
          <w:p w:rsidR="00785524" w:rsidRPr="00FE17DC" w:rsidRDefault="00785524" w:rsidP="007A45A1">
            <w:pPr>
              <w:jc w:val="center"/>
              <w:rPr>
                <w:rFonts w:ascii="Times New Roman" w:hAnsi="Times New Roman" w:cs="Times New Roman"/>
                <w:b/>
                <w:bCs/>
                <w:sz w:val="16"/>
                <w:szCs w:val="16"/>
              </w:rPr>
            </w:pPr>
          </w:p>
          <w:p w:rsidR="00785524" w:rsidRPr="00FE17DC" w:rsidRDefault="00785524"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fév.-21</w:t>
            </w:r>
          </w:p>
        </w:tc>
        <w:tc>
          <w:tcPr>
            <w:tcW w:w="680" w:type="dxa"/>
            <w:tcBorders>
              <w:top w:val="double" w:sz="6" w:space="0" w:color="auto"/>
              <w:left w:val="nil"/>
              <w:bottom w:val="single" w:sz="8" w:space="0" w:color="auto"/>
              <w:right w:val="nil"/>
            </w:tcBorders>
            <w:shd w:val="clear" w:color="000000" w:fill="00FFFF"/>
          </w:tcPr>
          <w:p w:rsidR="00785524" w:rsidRDefault="00785524" w:rsidP="007A45A1">
            <w:pPr>
              <w:jc w:val="center"/>
              <w:rPr>
                <w:rFonts w:ascii="Times New Roman" w:hAnsi="Times New Roman" w:cs="Times New Roman"/>
                <w:b/>
                <w:bCs/>
                <w:sz w:val="16"/>
                <w:szCs w:val="16"/>
              </w:rPr>
            </w:pPr>
          </w:p>
          <w:p w:rsidR="00785524" w:rsidRPr="00FE17DC" w:rsidRDefault="00785524" w:rsidP="007A45A1">
            <w:pPr>
              <w:jc w:val="center"/>
              <w:rPr>
                <w:rFonts w:ascii="Times New Roman" w:hAnsi="Times New Roman" w:cs="Times New Roman"/>
                <w:b/>
                <w:bCs/>
                <w:sz w:val="16"/>
                <w:szCs w:val="16"/>
              </w:rPr>
            </w:pPr>
            <w:r>
              <w:rPr>
                <w:rFonts w:ascii="Times New Roman" w:hAnsi="Times New Roman" w:cs="Times New Roman"/>
                <w:b/>
                <w:bCs/>
                <w:sz w:val="16"/>
                <w:szCs w:val="16"/>
              </w:rPr>
              <w:t>mar.-21</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3,0</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2,9</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2,3</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1,9</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2,2</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2,3</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2,5</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2,4</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2,6</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1,5</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1,7</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1,8</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1,8</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0,5</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0,6</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0,7</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1,1</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2,9</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3,2</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3,6</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3,8</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2,5</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bookmarkStart w:id="1" w:name="_GoBack"/>
            <w:bookmarkEnd w:id="1"/>
            <w:r w:rsidRPr="00FE17DC">
              <w:rPr>
                <w:rFonts w:ascii="Times New Roman" w:hAnsi="Times New Roman" w:cs="Times New Roman"/>
                <w:sz w:val="16"/>
                <w:szCs w:val="16"/>
              </w:rPr>
              <w:t>2,4</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2,3</w:t>
            </w:r>
          </w:p>
        </w:tc>
      </w:tr>
      <w:tr w:rsidR="007633A3" w:rsidRPr="00EF0798" w:rsidTr="009B1041">
        <w:trPr>
          <w:trHeight w:val="301"/>
        </w:trPr>
        <w:tc>
          <w:tcPr>
            <w:tcW w:w="999" w:type="dxa"/>
            <w:tcBorders>
              <w:top w:val="nil"/>
              <w:left w:val="nil"/>
              <w:bottom w:val="nil"/>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50" w:type="dxa"/>
            <w:tcBorders>
              <w:top w:val="nil"/>
              <w:left w:val="nil"/>
              <w:bottom w:val="nil"/>
              <w:right w:val="nil"/>
            </w:tcBorders>
            <w:shd w:val="clear" w:color="auto" w:fill="auto"/>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731"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777"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59" w:type="dxa"/>
            <w:tcBorders>
              <w:top w:val="nil"/>
              <w:left w:val="nil"/>
              <w:bottom w:val="nil"/>
              <w:right w:val="nil"/>
            </w:tcBorders>
            <w:shd w:val="clear" w:color="auto" w:fill="auto"/>
            <w:noWrap/>
            <w:vAlign w:val="bottom"/>
            <w:hideMark/>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47"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86"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50" w:type="dxa"/>
            <w:tcBorders>
              <w:top w:val="nil"/>
              <w:left w:val="nil"/>
              <w:bottom w:val="nil"/>
              <w:right w:val="nil"/>
            </w:tcBorders>
            <w:vAlign w:val="bottom"/>
          </w:tcPr>
          <w:p w:rsidR="007633A3" w:rsidRPr="00EF0798" w:rsidRDefault="007633A3"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32" w:type="dxa"/>
            <w:tcBorders>
              <w:top w:val="nil"/>
              <w:left w:val="nil"/>
              <w:bottom w:val="nil"/>
              <w:right w:val="nil"/>
            </w:tcBorders>
            <w:vAlign w:val="bottom"/>
          </w:tcPr>
          <w:p w:rsidR="007633A3" w:rsidRPr="00FC3DC3" w:rsidRDefault="007633A3"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1,8</w:t>
            </w:r>
          </w:p>
        </w:tc>
        <w:tc>
          <w:tcPr>
            <w:tcW w:w="771" w:type="dxa"/>
            <w:tcBorders>
              <w:top w:val="nil"/>
              <w:left w:val="nil"/>
              <w:bottom w:val="nil"/>
              <w:right w:val="nil"/>
            </w:tcBorders>
            <w:vAlign w:val="bottom"/>
          </w:tcPr>
          <w:p w:rsidR="007633A3" w:rsidRPr="000730D0" w:rsidRDefault="007633A3"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1,9</w:t>
            </w:r>
          </w:p>
        </w:tc>
        <w:tc>
          <w:tcPr>
            <w:tcW w:w="616" w:type="dxa"/>
            <w:tcBorders>
              <w:top w:val="nil"/>
              <w:left w:val="nil"/>
              <w:bottom w:val="nil"/>
              <w:right w:val="nil"/>
            </w:tcBorders>
            <w:vAlign w:val="bottom"/>
          </w:tcPr>
          <w:p w:rsidR="007633A3" w:rsidRPr="00FE17DC" w:rsidRDefault="007633A3" w:rsidP="00FE17DC">
            <w:pPr>
              <w:jc w:val="right"/>
              <w:rPr>
                <w:rFonts w:ascii="Times New Roman" w:hAnsi="Times New Roman" w:cs="Times New Roman"/>
                <w:sz w:val="16"/>
                <w:szCs w:val="16"/>
              </w:rPr>
            </w:pPr>
            <w:r w:rsidRPr="00FE17DC">
              <w:rPr>
                <w:rFonts w:ascii="Times New Roman" w:hAnsi="Times New Roman" w:cs="Times New Roman"/>
                <w:sz w:val="16"/>
                <w:szCs w:val="16"/>
              </w:rPr>
              <w:t>2,0</w:t>
            </w:r>
          </w:p>
        </w:tc>
        <w:tc>
          <w:tcPr>
            <w:tcW w:w="680" w:type="dxa"/>
            <w:tcBorders>
              <w:top w:val="nil"/>
              <w:left w:val="nil"/>
              <w:bottom w:val="nil"/>
              <w:right w:val="nil"/>
            </w:tcBorders>
            <w:vAlign w:val="bottom"/>
          </w:tcPr>
          <w:p w:rsidR="007633A3" w:rsidRPr="00844BD0" w:rsidRDefault="007633A3">
            <w:pPr>
              <w:jc w:val="right"/>
              <w:rPr>
                <w:rFonts w:ascii="Times New Roman" w:hAnsi="Times New Roman" w:cs="Times New Roman"/>
                <w:sz w:val="16"/>
                <w:szCs w:val="16"/>
              </w:rPr>
            </w:pPr>
            <w:r w:rsidRPr="00844BD0">
              <w:rPr>
                <w:rFonts w:ascii="Times New Roman" w:hAnsi="Times New Roman" w:cs="Times New Roman"/>
                <w:sz w:val="16"/>
                <w:szCs w:val="16"/>
              </w:rPr>
              <w:t>2,0</w:t>
            </w:r>
          </w:p>
        </w:tc>
      </w:tr>
      <w:tr w:rsidR="007633A3" w:rsidRPr="005E3A2C" w:rsidTr="009B1041">
        <w:trPr>
          <w:trHeight w:val="316"/>
        </w:trPr>
        <w:tc>
          <w:tcPr>
            <w:tcW w:w="999" w:type="dxa"/>
            <w:tcBorders>
              <w:top w:val="nil"/>
              <w:left w:val="nil"/>
              <w:bottom w:val="double" w:sz="6" w:space="0" w:color="auto"/>
              <w:right w:val="nil"/>
            </w:tcBorders>
            <w:shd w:val="clear" w:color="auto" w:fill="auto"/>
            <w:noWrap/>
            <w:vAlign w:val="bottom"/>
            <w:hideMark/>
          </w:tcPr>
          <w:p w:rsidR="007633A3" w:rsidRPr="00EF0798" w:rsidRDefault="007633A3"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50" w:type="dxa"/>
            <w:tcBorders>
              <w:top w:val="nil"/>
              <w:left w:val="nil"/>
              <w:bottom w:val="double" w:sz="6" w:space="0" w:color="auto"/>
              <w:right w:val="nil"/>
            </w:tcBorders>
            <w:shd w:val="clear" w:color="auto" w:fill="auto"/>
            <w:noWrap/>
            <w:vAlign w:val="bottom"/>
            <w:hideMark/>
          </w:tcPr>
          <w:p w:rsidR="007633A3" w:rsidRPr="00EF0798" w:rsidRDefault="007633A3"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731" w:type="dxa"/>
            <w:tcBorders>
              <w:top w:val="nil"/>
              <w:left w:val="nil"/>
              <w:bottom w:val="double" w:sz="6" w:space="0" w:color="auto"/>
              <w:right w:val="nil"/>
            </w:tcBorders>
            <w:shd w:val="clear" w:color="auto" w:fill="auto"/>
            <w:noWrap/>
            <w:vAlign w:val="bottom"/>
            <w:hideMark/>
          </w:tcPr>
          <w:p w:rsidR="007633A3" w:rsidRPr="00EF0798" w:rsidRDefault="007633A3"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759" w:type="dxa"/>
            <w:tcBorders>
              <w:top w:val="nil"/>
              <w:left w:val="nil"/>
              <w:bottom w:val="double" w:sz="6" w:space="0" w:color="auto"/>
              <w:right w:val="nil"/>
            </w:tcBorders>
            <w:shd w:val="clear" w:color="auto" w:fill="auto"/>
            <w:noWrap/>
            <w:vAlign w:val="bottom"/>
            <w:hideMark/>
          </w:tcPr>
          <w:p w:rsidR="007633A3" w:rsidRPr="00EF0798" w:rsidRDefault="007633A3"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777" w:type="dxa"/>
            <w:tcBorders>
              <w:top w:val="nil"/>
              <w:left w:val="nil"/>
              <w:bottom w:val="double" w:sz="6" w:space="0" w:color="auto"/>
              <w:right w:val="nil"/>
            </w:tcBorders>
            <w:shd w:val="clear" w:color="auto" w:fill="auto"/>
            <w:noWrap/>
            <w:vAlign w:val="bottom"/>
            <w:hideMark/>
          </w:tcPr>
          <w:p w:rsidR="007633A3" w:rsidRPr="00EF0798" w:rsidRDefault="007633A3"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59" w:type="dxa"/>
            <w:tcBorders>
              <w:top w:val="nil"/>
              <w:left w:val="nil"/>
              <w:bottom w:val="double" w:sz="6" w:space="0" w:color="auto"/>
              <w:right w:val="nil"/>
            </w:tcBorders>
            <w:shd w:val="clear" w:color="auto" w:fill="auto"/>
            <w:noWrap/>
            <w:vAlign w:val="bottom"/>
            <w:hideMark/>
          </w:tcPr>
          <w:p w:rsidR="007633A3" w:rsidRPr="00EF0798" w:rsidRDefault="007633A3"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47" w:type="dxa"/>
            <w:tcBorders>
              <w:top w:val="nil"/>
              <w:left w:val="nil"/>
              <w:bottom w:val="double" w:sz="6" w:space="0" w:color="auto"/>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19" w:type="dxa"/>
            <w:tcBorders>
              <w:top w:val="nil"/>
              <w:left w:val="nil"/>
              <w:bottom w:val="double" w:sz="6" w:space="0" w:color="auto"/>
              <w:right w:val="nil"/>
            </w:tcBorders>
            <w:vAlign w:val="bottom"/>
          </w:tcPr>
          <w:p w:rsidR="007633A3" w:rsidRPr="00EF0798" w:rsidRDefault="007633A3"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86" w:type="dxa"/>
            <w:tcBorders>
              <w:top w:val="nil"/>
              <w:left w:val="nil"/>
              <w:bottom w:val="double" w:sz="6" w:space="0" w:color="auto"/>
              <w:right w:val="nil"/>
            </w:tcBorders>
            <w:vAlign w:val="bottom"/>
          </w:tcPr>
          <w:p w:rsidR="007633A3" w:rsidRPr="005E3A2C" w:rsidRDefault="007633A3" w:rsidP="00FE17DC">
            <w:pPr>
              <w:jc w:val="right"/>
              <w:rPr>
                <w:rFonts w:ascii="Times New Roman" w:hAnsi="Times New Roman" w:cs="Times New Roman"/>
                <w:b/>
                <w:sz w:val="16"/>
                <w:szCs w:val="16"/>
              </w:rPr>
            </w:pPr>
            <w:r w:rsidRPr="005E3A2C">
              <w:rPr>
                <w:rFonts w:ascii="Times New Roman" w:hAnsi="Times New Roman" w:cs="Times New Roman"/>
                <w:b/>
                <w:sz w:val="16"/>
                <w:szCs w:val="16"/>
              </w:rPr>
              <w:t>1,7</w:t>
            </w:r>
          </w:p>
        </w:tc>
        <w:tc>
          <w:tcPr>
            <w:tcW w:w="650" w:type="dxa"/>
            <w:tcBorders>
              <w:top w:val="nil"/>
              <w:left w:val="nil"/>
              <w:bottom w:val="double" w:sz="6" w:space="0" w:color="auto"/>
              <w:right w:val="nil"/>
            </w:tcBorders>
            <w:vAlign w:val="bottom"/>
          </w:tcPr>
          <w:p w:rsidR="007633A3" w:rsidRPr="005E3A2C" w:rsidRDefault="007633A3" w:rsidP="00FE17DC">
            <w:pPr>
              <w:jc w:val="right"/>
              <w:rPr>
                <w:rFonts w:ascii="Times New Roman" w:hAnsi="Times New Roman" w:cs="Times New Roman"/>
                <w:b/>
                <w:sz w:val="16"/>
                <w:szCs w:val="16"/>
              </w:rPr>
            </w:pPr>
            <w:r w:rsidRPr="005E3A2C">
              <w:rPr>
                <w:rFonts w:ascii="Times New Roman" w:hAnsi="Times New Roman" w:cs="Times New Roman"/>
                <w:b/>
                <w:sz w:val="16"/>
                <w:szCs w:val="16"/>
              </w:rPr>
              <w:t>1,9</w:t>
            </w:r>
          </w:p>
        </w:tc>
        <w:tc>
          <w:tcPr>
            <w:tcW w:w="632" w:type="dxa"/>
            <w:tcBorders>
              <w:top w:val="nil"/>
              <w:left w:val="nil"/>
              <w:bottom w:val="double" w:sz="6" w:space="0" w:color="auto"/>
              <w:right w:val="nil"/>
            </w:tcBorders>
            <w:vAlign w:val="bottom"/>
          </w:tcPr>
          <w:p w:rsidR="007633A3" w:rsidRPr="005E3A2C" w:rsidRDefault="007633A3"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2,1</w:t>
            </w:r>
          </w:p>
        </w:tc>
        <w:tc>
          <w:tcPr>
            <w:tcW w:w="771" w:type="dxa"/>
            <w:tcBorders>
              <w:top w:val="nil"/>
              <w:left w:val="nil"/>
              <w:bottom w:val="double" w:sz="6" w:space="0" w:color="auto"/>
              <w:right w:val="nil"/>
            </w:tcBorders>
            <w:vAlign w:val="bottom"/>
          </w:tcPr>
          <w:p w:rsidR="007633A3" w:rsidRPr="005E3A2C" w:rsidRDefault="007633A3"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2,2</w:t>
            </w:r>
          </w:p>
        </w:tc>
        <w:tc>
          <w:tcPr>
            <w:tcW w:w="616" w:type="dxa"/>
            <w:tcBorders>
              <w:top w:val="nil"/>
              <w:left w:val="nil"/>
              <w:bottom w:val="double" w:sz="6" w:space="0" w:color="auto"/>
              <w:right w:val="nil"/>
            </w:tcBorders>
            <w:vAlign w:val="bottom"/>
          </w:tcPr>
          <w:p w:rsidR="007633A3" w:rsidRPr="00FE17DC" w:rsidRDefault="007633A3" w:rsidP="00FE17DC">
            <w:pPr>
              <w:jc w:val="right"/>
              <w:rPr>
                <w:rFonts w:ascii="Times New Roman" w:hAnsi="Times New Roman" w:cs="Times New Roman"/>
                <w:b/>
                <w:bCs/>
                <w:sz w:val="16"/>
                <w:szCs w:val="16"/>
              </w:rPr>
            </w:pPr>
            <w:r w:rsidRPr="00FE17DC">
              <w:rPr>
                <w:rFonts w:ascii="Times New Roman" w:hAnsi="Times New Roman" w:cs="Times New Roman"/>
                <w:b/>
                <w:bCs/>
                <w:sz w:val="16"/>
                <w:szCs w:val="16"/>
              </w:rPr>
              <w:t>2,3</w:t>
            </w:r>
          </w:p>
        </w:tc>
        <w:tc>
          <w:tcPr>
            <w:tcW w:w="680" w:type="dxa"/>
            <w:tcBorders>
              <w:top w:val="nil"/>
              <w:left w:val="nil"/>
              <w:bottom w:val="double" w:sz="6" w:space="0" w:color="auto"/>
              <w:right w:val="nil"/>
            </w:tcBorders>
            <w:vAlign w:val="bottom"/>
          </w:tcPr>
          <w:p w:rsidR="007633A3" w:rsidRPr="00844BD0" w:rsidRDefault="007633A3">
            <w:pPr>
              <w:jc w:val="right"/>
              <w:rPr>
                <w:rFonts w:ascii="Times New Roman" w:hAnsi="Times New Roman" w:cs="Times New Roman"/>
                <w:b/>
                <w:bCs/>
                <w:sz w:val="16"/>
                <w:szCs w:val="16"/>
              </w:rPr>
            </w:pPr>
            <w:r w:rsidRPr="00844BD0">
              <w:rPr>
                <w:rFonts w:ascii="Times New Roman" w:hAnsi="Times New Roman" w:cs="Times New Roman"/>
                <w:b/>
                <w:bCs/>
                <w:sz w:val="16"/>
                <w:szCs w:val="16"/>
              </w:rPr>
              <w:t>2,4</w:t>
            </w:r>
          </w:p>
        </w:tc>
      </w:tr>
    </w:tbl>
    <w:p w:rsidR="00FE0938" w:rsidRDefault="002370EA" w:rsidP="00D670C6">
      <w:pPr>
        <w:ind w:left="-567"/>
        <w:rPr>
          <w:rFonts w:ascii="Times New Roman" w:hAnsi="Times New Roman" w:cs="Times New Roman"/>
          <w:bCs/>
          <w:sz w:val="16"/>
          <w:szCs w:val="16"/>
        </w:rPr>
      </w:pPr>
      <w:r w:rsidRPr="002370EA">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Pr>
          <w:rFonts w:ascii="Times New Roman" w:hAnsi="Times New Roman" w:cs="Times New Roman"/>
          <w:bCs/>
          <w:sz w:val="16"/>
          <w:szCs w:val="16"/>
        </w:rPr>
        <w:t>avril</w:t>
      </w:r>
      <w:r w:rsidR="00A00B1E">
        <w:rPr>
          <w:rFonts w:ascii="Times New Roman" w:hAnsi="Times New Roman" w:cs="Times New Roman"/>
          <w:bCs/>
          <w:sz w:val="16"/>
          <w:szCs w:val="16"/>
        </w:rPr>
        <w:t xml:space="preserve"> 2021</w:t>
      </w:r>
    </w:p>
    <w:p w:rsidR="00931FD3" w:rsidRDefault="00931FD3" w:rsidP="00D670C6">
      <w:pPr>
        <w:ind w:left="-567"/>
        <w:rPr>
          <w:rFonts w:ascii="Times New Roman" w:hAnsi="Times New Roman" w:cs="Times New Roman"/>
          <w:bCs/>
          <w:sz w:val="16"/>
          <w:szCs w:val="16"/>
        </w:rPr>
      </w:pPr>
    </w:p>
    <w:p w:rsidR="00931FD3" w:rsidRDefault="00931FD3" w:rsidP="00D670C6">
      <w:pPr>
        <w:ind w:left="-567"/>
        <w:rPr>
          <w:rFonts w:ascii="Times New Roman" w:hAnsi="Times New Roman" w:cs="Times New Roman"/>
          <w:bCs/>
          <w:sz w:val="16"/>
          <w:szCs w:val="16"/>
        </w:rPr>
      </w:pPr>
    </w:p>
    <w:p w:rsidR="00D670C6" w:rsidRPr="00D670C6" w:rsidRDefault="00D670C6" w:rsidP="00D670C6">
      <w:pPr>
        <w:ind w:left="-567"/>
        <w:rPr>
          <w:rFonts w:ascii="Times New Roman" w:hAnsi="Times New Roman" w:cs="Times New Roman"/>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lastRenderedPageBreak/>
        <w:t>Tableau 6</w:t>
      </w:r>
      <w:r w:rsidR="003671B8" w:rsidRPr="00EF65B5">
        <w:rPr>
          <w:rFonts w:ascii="Times New Roman" w:hAnsi="Times New Roman" w:cs="Times New Roman"/>
          <w:b/>
          <w:sz w:val="24"/>
          <w:szCs w:val="24"/>
        </w:rPr>
        <w:t> :</w:t>
      </w:r>
      <w:r w:rsidR="002370EA">
        <w:rPr>
          <w:rFonts w:ascii="Times New Roman" w:hAnsi="Times New Roman" w:cs="Times New Roman"/>
          <w:b/>
          <w:sz w:val="24"/>
          <w:szCs w:val="24"/>
        </w:rPr>
        <w:t xml:space="preserve"> Indice groupe du mois d’avril </w:t>
      </w:r>
      <w:r w:rsidR="00A00B1E">
        <w:rPr>
          <w:rFonts w:ascii="Times New Roman" w:hAnsi="Times New Roman" w:cs="Times New Roman"/>
          <w:b/>
          <w:sz w:val="24"/>
          <w:szCs w:val="24"/>
        </w:rPr>
        <w:t>2021</w:t>
      </w:r>
    </w:p>
    <w:tbl>
      <w:tblPr>
        <w:tblW w:w="9813" w:type="dxa"/>
        <w:tblInd w:w="70" w:type="dxa"/>
        <w:tblCellMar>
          <w:left w:w="70" w:type="dxa"/>
          <w:right w:w="70" w:type="dxa"/>
        </w:tblCellMar>
        <w:tblLook w:val="04A0"/>
      </w:tblPr>
      <w:tblGrid>
        <w:gridCol w:w="647"/>
        <w:gridCol w:w="3640"/>
        <w:gridCol w:w="481"/>
        <w:gridCol w:w="681"/>
        <w:gridCol w:w="662"/>
        <w:gridCol w:w="586"/>
        <w:gridCol w:w="662"/>
        <w:gridCol w:w="624"/>
        <w:gridCol w:w="576"/>
        <w:gridCol w:w="589"/>
        <w:gridCol w:w="665"/>
      </w:tblGrid>
      <w:tr w:rsidR="003671B8" w:rsidRPr="008F03D9" w:rsidTr="00CF4A89">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215" w:type="dxa"/>
            <w:gridSpan w:val="5"/>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A25E79" w:rsidRPr="008F03D9" w:rsidTr="00CF4A89">
        <w:trPr>
          <w:trHeight w:val="252"/>
        </w:trPr>
        <w:tc>
          <w:tcPr>
            <w:tcW w:w="647" w:type="dxa"/>
            <w:tcBorders>
              <w:top w:val="nil"/>
              <w:left w:val="single" w:sz="4" w:space="0" w:color="auto"/>
              <w:bottom w:val="nil"/>
              <w:right w:val="nil"/>
            </w:tcBorders>
            <w:shd w:val="clear" w:color="000000" w:fill="00FFFF"/>
            <w:hideMark/>
          </w:tcPr>
          <w:p w:rsidR="00A25E79" w:rsidRPr="008F03D9" w:rsidRDefault="00A25E7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A25E79" w:rsidRPr="008F03D9" w:rsidRDefault="00A25E79"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681" w:type="dxa"/>
            <w:tcBorders>
              <w:top w:val="nil"/>
              <w:left w:val="nil"/>
              <w:bottom w:val="nil"/>
              <w:right w:val="nil"/>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Pr>
                <w:rFonts w:ascii="Times New Roman" w:hAnsi="Times New Roman" w:cs="Times New Roman"/>
                <w:b/>
                <w:bCs/>
                <w:sz w:val="14"/>
                <w:szCs w:val="14"/>
              </w:rPr>
              <w:t>avr.-20</w:t>
            </w:r>
          </w:p>
        </w:tc>
        <w:tc>
          <w:tcPr>
            <w:tcW w:w="662" w:type="dxa"/>
            <w:tcBorders>
              <w:top w:val="nil"/>
              <w:left w:val="nil"/>
              <w:bottom w:val="nil"/>
              <w:right w:val="nil"/>
            </w:tcBorders>
            <w:shd w:val="clear" w:color="000000" w:fill="00FFFF"/>
            <w:vAlign w:val="bottom"/>
            <w:hideMark/>
          </w:tcPr>
          <w:p w:rsidR="00A25E79" w:rsidRPr="008F03D9" w:rsidRDefault="00A25E79" w:rsidP="009B1041">
            <w:pPr>
              <w:jc w:val="center"/>
              <w:rPr>
                <w:rFonts w:ascii="Times New Roman" w:hAnsi="Times New Roman" w:cs="Times New Roman"/>
                <w:b/>
                <w:bCs/>
                <w:sz w:val="14"/>
                <w:szCs w:val="14"/>
              </w:rPr>
            </w:pPr>
            <w:r>
              <w:rPr>
                <w:rFonts w:ascii="Times New Roman" w:hAnsi="Times New Roman" w:cs="Times New Roman"/>
                <w:b/>
                <w:bCs/>
                <w:sz w:val="14"/>
                <w:szCs w:val="14"/>
              </w:rPr>
              <w:t>jan</w:t>
            </w:r>
            <w:r w:rsidRPr="008F03D9">
              <w:rPr>
                <w:rFonts w:ascii="Times New Roman" w:hAnsi="Times New Roman" w:cs="Times New Roman"/>
                <w:b/>
                <w:bCs/>
                <w:sz w:val="14"/>
                <w:szCs w:val="14"/>
              </w:rPr>
              <w:t>-2</w:t>
            </w:r>
            <w:r>
              <w:rPr>
                <w:rFonts w:ascii="Times New Roman" w:hAnsi="Times New Roman" w:cs="Times New Roman"/>
                <w:b/>
                <w:bCs/>
                <w:sz w:val="14"/>
                <w:szCs w:val="14"/>
              </w:rPr>
              <w:t>1</w:t>
            </w:r>
          </w:p>
        </w:tc>
        <w:tc>
          <w:tcPr>
            <w:tcW w:w="586" w:type="dxa"/>
            <w:tcBorders>
              <w:top w:val="nil"/>
              <w:left w:val="nil"/>
              <w:bottom w:val="nil"/>
              <w:right w:val="nil"/>
            </w:tcBorders>
            <w:shd w:val="clear" w:color="000000" w:fill="00FFFF"/>
            <w:vAlign w:val="bottom"/>
            <w:hideMark/>
          </w:tcPr>
          <w:p w:rsidR="00A25E79" w:rsidRPr="008F03D9" w:rsidRDefault="00A25E79" w:rsidP="009B1041">
            <w:pPr>
              <w:jc w:val="center"/>
              <w:rPr>
                <w:rFonts w:ascii="Times New Roman" w:hAnsi="Times New Roman" w:cs="Times New Roman"/>
                <w:b/>
                <w:bCs/>
                <w:sz w:val="14"/>
                <w:szCs w:val="14"/>
              </w:rPr>
            </w:pPr>
            <w:r>
              <w:rPr>
                <w:rFonts w:ascii="Times New Roman" w:hAnsi="Times New Roman" w:cs="Times New Roman"/>
                <w:b/>
                <w:bCs/>
                <w:sz w:val="14"/>
                <w:szCs w:val="14"/>
              </w:rPr>
              <w:t>fév</w:t>
            </w:r>
            <w:r w:rsidRPr="008F03D9">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A25E79" w:rsidRPr="008F03D9" w:rsidRDefault="00A25E79" w:rsidP="009B1041">
            <w:pPr>
              <w:jc w:val="center"/>
              <w:rPr>
                <w:rFonts w:ascii="Times New Roman" w:hAnsi="Times New Roman" w:cs="Times New Roman"/>
                <w:b/>
                <w:bCs/>
                <w:sz w:val="14"/>
                <w:szCs w:val="14"/>
              </w:rPr>
            </w:pPr>
            <w:r>
              <w:rPr>
                <w:rFonts w:ascii="Times New Roman" w:hAnsi="Times New Roman" w:cs="Times New Roman"/>
                <w:b/>
                <w:bCs/>
                <w:sz w:val="14"/>
                <w:szCs w:val="14"/>
              </w:rPr>
              <w:t>mar.-21</w:t>
            </w:r>
          </w:p>
        </w:tc>
        <w:tc>
          <w:tcPr>
            <w:tcW w:w="624" w:type="dxa"/>
            <w:tcBorders>
              <w:top w:val="nil"/>
              <w:left w:val="nil"/>
              <w:bottom w:val="nil"/>
              <w:right w:val="nil"/>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Pr>
                <w:rFonts w:ascii="Times New Roman" w:hAnsi="Times New Roman" w:cs="Times New Roman"/>
                <w:b/>
                <w:bCs/>
                <w:sz w:val="14"/>
                <w:szCs w:val="14"/>
              </w:rPr>
              <w:t>avr.-21</w:t>
            </w:r>
          </w:p>
        </w:tc>
        <w:tc>
          <w:tcPr>
            <w:tcW w:w="576" w:type="dxa"/>
            <w:tcBorders>
              <w:top w:val="nil"/>
              <w:left w:val="nil"/>
              <w:bottom w:val="nil"/>
              <w:right w:val="nil"/>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A25E79" w:rsidRPr="008F03D9" w:rsidRDefault="00A25E79"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CF4A89">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103,6</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2,4%</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4,8%</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Boissons non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103,7</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103,3</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102,0</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102,3</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-1,4%</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-1,8%</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Boissons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103,5</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104,8</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104,3</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Tabacs et stupéfiants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116,0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118,2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119,9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116,9</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116,2</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-1,7%</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108,9</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2,6%</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106,9</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107,6</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107,7</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0,7%</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3,6%</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102,3</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99,3</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-1,5%</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Entretien et réparation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103,4</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105,5</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-1,6%</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2,0%</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89,1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82,1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79,7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82,1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82,7</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0,7%</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-7,2%</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Electricite,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101,4</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-1,4%</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-7,4%</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Meubles ,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116,7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117,0</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117,7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116,9</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117,0</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100,6</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101,0</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101,5</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0,9%</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-0,7%</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Appareils ménagers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99,3</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0,4%</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Verrerie, vaisselle et ustensiles de ménage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105,9</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0,9%</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111,1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111,2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112,0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111,5</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112,1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0,9%</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104,3</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104,3</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98,9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99,8</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99,9</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99,9</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108,3</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108,5</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108,5</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102,9</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102,8</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102,8</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96,5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95,6</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96,3</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96,2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97,0</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1,5%</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95,8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92,1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92,5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92,1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93,1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-2,8%</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130,7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129,5</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130,0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130,7</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132,0</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1,9%</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100,7</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100,3</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100,3</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-0,5%</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102,3</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101,2</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98,8</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98,8</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98,9</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99,5</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100,9</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-0,8%</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99,3</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101,0</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101,0</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101,2</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119,2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119,5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119,1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119,3</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19,8%</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Enseignement pré-élémentaire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108,0</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108,1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0,3%</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99,6</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99,7</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99,7</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100,5</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106,5</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106,4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103,0</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103,0</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103,1</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-0,6%</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97,5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95,0</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97,1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97,4</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98,4</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3,6%</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0,9%</w:t>
            </w:r>
          </w:p>
        </w:tc>
      </w:tr>
      <w:tr w:rsidR="009B1041"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rPr>
                <w:color w:val="000000"/>
                <w:sz w:val="12"/>
                <w:szCs w:val="12"/>
              </w:rPr>
            </w:pPr>
            <w:r>
              <w:rPr>
                <w:color w:val="000000"/>
                <w:sz w:val="12"/>
                <w:szCs w:val="12"/>
              </w:rPr>
              <w:t> </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107,8</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109,4</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110,1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110,1</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111,7</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2,1%</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3,6%</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vertAlign w:val="superscript"/>
              </w:rPr>
            </w:pPr>
            <w:r w:rsidRPr="008F03D9">
              <w:rPr>
                <w:rFonts w:ascii="Times New Roman" w:hAnsi="Times New Roman" w:cs="Times New Roman"/>
                <w:sz w:val="14"/>
                <w:szCs w:val="14"/>
              </w:rPr>
              <w:t>Effets personnels n.c.a</w:t>
            </w:r>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104,4</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104,8</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103,2</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100,6</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-2,5%</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-4,0%</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-3,6%</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94,2</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94,1</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94,7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90,6</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88,8</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-2,0%</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-5,6%</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-5,7%</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102,9</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103,5</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101,7</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99,6</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-3,2%</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-2,0%</w:t>
            </w:r>
          </w:p>
        </w:tc>
      </w:tr>
      <w:tr w:rsidR="009B1041"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rPr>
                <w:rFonts w:ascii="Times New Roman" w:hAnsi="Times New Roman" w:cs="Times New Roman"/>
                <w:sz w:val="14"/>
                <w:szCs w:val="14"/>
              </w:rPr>
            </w:pPr>
            <w:r w:rsidRPr="008F03D9">
              <w:rPr>
                <w:rFonts w:ascii="Times New Roman" w:hAnsi="Times New Roman" w:cs="Times New Roman"/>
                <w:sz w:val="14"/>
                <w:szCs w:val="14"/>
              </w:rPr>
              <w:t>Autres services n.c.a</w:t>
            </w:r>
          </w:p>
        </w:tc>
        <w:tc>
          <w:tcPr>
            <w:tcW w:w="481" w:type="dxa"/>
            <w:tcBorders>
              <w:top w:val="nil"/>
              <w:left w:val="nil"/>
              <w:bottom w:val="single" w:sz="4" w:space="0" w:color="auto"/>
              <w:right w:val="single" w:sz="4" w:space="0" w:color="auto"/>
            </w:tcBorders>
            <w:shd w:val="clear" w:color="auto" w:fill="auto"/>
            <w:noWrap/>
            <w:vAlign w:val="bottom"/>
            <w:hideMark/>
          </w:tcPr>
          <w:p w:rsidR="009B1041" w:rsidRPr="008F03D9" w:rsidRDefault="009B1041" w:rsidP="003671B8">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681"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103,6</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103,2</w:t>
            </w:r>
          </w:p>
        </w:tc>
        <w:tc>
          <w:tcPr>
            <w:tcW w:w="58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101,9</w:t>
            </w:r>
          </w:p>
        </w:tc>
        <w:tc>
          <w:tcPr>
            <w:tcW w:w="624"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99,8</w:t>
            </w:r>
          </w:p>
        </w:tc>
        <w:tc>
          <w:tcPr>
            <w:tcW w:w="576"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-2,1%</w:t>
            </w:r>
          </w:p>
        </w:tc>
        <w:tc>
          <w:tcPr>
            <w:tcW w:w="589"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-3,3%</w:t>
            </w:r>
          </w:p>
        </w:tc>
        <w:tc>
          <w:tcPr>
            <w:tcW w:w="665" w:type="dxa"/>
            <w:tcBorders>
              <w:top w:val="nil"/>
              <w:left w:val="nil"/>
              <w:bottom w:val="single" w:sz="4" w:space="0" w:color="auto"/>
              <w:right w:val="single" w:sz="4" w:space="0" w:color="auto"/>
            </w:tcBorders>
            <w:shd w:val="clear" w:color="auto" w:fill="auto"/>
            <w:noWrap/>
            <w:vAlign w:val="bottom"/>
            <w:hideMark/>
          </w:tcPr>
          <w:p w:rsidR="009B1041" w:rsidRDefault="009B1041">
            <w:pPr>
              <w:jc w:val="right"/>
              <w:rPr>
                <w:color w:val="000000"/>
                <w:sz w:val="12"/>
                <w:szCs w:val="12"/>
              </w:rPr>
            </w:pPr>
            <w:r>
              <w:rPr>
                <w:color w:val="000000"/>
                <w:sz w:val="12"/>
                <w:szCs w:val="12"/>
              </w:rPr>
              <w:t>-3,7%</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r w:rsidRPr="00F4774D">
        <w:rPr>
          <w:rFonts w:ascii="Times New Roman" w:hAnsi="Times New Roman" w:cs="Times New Roman"/>
          <w:sz w:val="14"/>
          <w:szCs w:val="14"/>
        </w:rPr>
        <w:t>n.c.a : non classés ailleurs.</w:t>
      </w:r>
    </w:p>
    <w:p w:rsidR="003671B8"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2370EA">
        <w:rPr>
          <w:rFonts w:ascii="Times New Roman" w:hAnsi="Times New Roman" w:cs="Times New Roman"/>
          <w:bCs/>
          <w:sz w:val="16"/>
          <w:szCs w:val="16"/>
        </w:rPr>
        <w:t>avril</w:t>
      </w:r>
      <w:r w:rsidR="00053949">
        <w:rPr>
          <w:rFonts w:ascii="Times New Roman" w:hAnsi="Times New Roman" w:cs="Times New Roman"/>
          <w:bCs/>
          <w:sz w:val="16"/>
          <w:szCs w:val="16"/>
        </w:rPr>
        <w:t xml:space="preserve">  2021</w:t>
      </w:r>
    </w:p>
    <w:p w:rsidR="00AD0E64" w:rsidRDefault="00AD0E64" w:rsidP="003671B8">
      <w:pPr>
        <w:spacing w:before="120"/>
        <w:rPr>
          <w:rFonts w:ascii="Times New Roman" w:hAnsi="Times New Roman" w:cs="Times New Roman"/>
          <w:bCs/>
          <w:sz w:val="16"/>
          <w:szCs w:val="16"/>
        </w:rPr>
      </w:pPr>
    </w:p>
    <w:p w:rsidR="00AD0E64" w:rsidRPr="00AD0E64" w:rsidRDefault="00AD0E64" w:rsidP="003671B8">
      <w:pPr>
        <w:spacing w:before="120"/>
        <w:rPr>
          <w:rFonts w:ascii="Times New Roman" w:hAnsi="Times New Roman" w:cs="Times New Roman"/>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Directeur Général : HOUNSA Laurent Mahounou</w:t>
      </w:r>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4"/>
      <w:pgSz w:w="11906" w:h="16838"/>
      <w:pgMar w:top="284" w:right="1134" w:bottom="993"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75E" w:rsidRDefault="002A075E">
      <w:r>
        <w:separator/>
      </w:r>
    </w:p>
  </w:endnote>
  <w:endnote w:type="continuationSeparator" w:id="1">
    <w:p w:rsidR="002A075E" w:rsidRDefault="002A0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BB" w:rsidRDefault="00EB07A7" w:rsidP="00AD0E64">
    <w:pPr>
      <w:pStyle w:val="Pieddepage"/>
      <w:pBdr>
        <w:bottom w:val="thinThickSmallGap" w:sz="24" w:space="1" w:color="339966"/>
      </w:pBdr>
      <w:rPr>
        <w:lang w:val="en-US"/>
      </w:rPr>
    </w:pPr>
    <w:sdt>
      <w:sdtPr>
        <w:id w:val="-1838375462"/>
        <w:docPartObj>
          <w:docPartGallery w:val="Page Numbers (Bottom of Page)"/>
          <w:docPartUnique/>
        </w:docPartObj>
      </w:sdtPr>
      <w:sdtContent>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30.65pt;margin-top:-.25pt;width:17.85pt;height:18.75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136ABB" w:rsidRDefault="00EB07A7">
                    <w:pPr>
                      <w:jc w:val="center"/>
                    </w:pPr>
                    <w:r w:rsidRPr="00EB07A7">
                      <w:fldChar w:fldCharType="begin"/>
                    </w:r>
                    <w:r w:rsidR="00136ABB">
                      <w:instrText>PAGE    \* MERGEFORMAT</w:instrText>
                    </w:r>
                    <w:r w:rsidRPr="00EB07A7">
                      <w:fldChar w:fldCharType="separate"/>
                    </w:r>
                    <w:r w:rsidR="005D2D79" w:rsidRPr="005D2D79">
                      <w:rPr>
                        <w:noProof/>
                        <w:sz w:val="16"/>
                        <w:szCs w:val="16"/>
                      </w:rPr>
                      <w:t>2</w:t>
                    </w:r>
                    <w:r>
                      <w:rPr>
                        <w:sz w:val="16"/>
                        <w:szCs w:val="16"/>
                      </w:rPr>
                      <w:fldChar w:fldCharType="end"/>
                    </w:r>
                  </w:p>
                </w:txbxContent>
              </v:textbox>
              <w10:wrap anchorx="margin" anchory="margin"/>
            </v:shape>
          </w:pict>
        </w:r>
      </w:sdtContent>
    </w:sdt>
  </w:p>
  <w:p w:rsidR="00136ABB" w:rsidRPr="00262D3A" w:rsidRDefault="00136ABB" w:rsidP="00AD0E64">
    <w:pPr>
      <w:pStyle w:val="Pieddepage"/>
      <w:tabs>
        <w:tab w:val="left" w:pos="6096"/>
        <w:tab w:val="left" w:pos="6379"/>
      </w:tabs>
      <w:contextualSpacing/>
      <w:rPr>
        <w:rFonts w:ascii="Montserrat Light" w:hAnsi="Montserrat Light"/>
        <w:sz w:val="16"/>
        <w:szCs w:val="16"/>
      </w:rPr>
    </w:pPr>
    <w:r w:rsidRPr="00262D3A">
      <w:rPr>
        <w:rFonts w:ascii="Montserrat Light" w:hAnsi="Montserrat Light"/>
        <w:sz w:val="16"/>
        <w:szCs w:val="16"/>
      </w:rPr>
      <w:t xml:space="preserve">Téléphone : 21-30-82-44                </w:t>
    </w:r>
    <w:r w:rsidR="0053423F">
      <w:rPr>
        <w:rFonts w:ascii="Montserrat Light" w:hAnsi="Montserrat Light"/>
        <w:sz w:val="16"/>
        <w:szCs w:val="16"/>
      </w:rPr>
      <w:t xml:space="preserve">                </w:t>
    </w:r>
    <w:r w:rsidRPr="00262D3A">
      <w:rPr>
        <w:rFonts w:ascii="Montserrat Light" w:hAnsi="Montserrat Light"/>
        <w:sz w:val="16"/>
        <w:szCs w:val="16"/>
      </w:rPr>
      <w:t xml:space="preserve">01 B.P. : 323 </w:t>
    </w:r>
    <w:r w:rsidRPr="00262D3A">
      <w:rPr>
        <w:rFonts w:ascii="Montserrat Light" w:hAnsi="Montserrat Light"/>
        <w:sz w:val="16"/>
        <w:szCs w:val="16"/>
        <w:lang w:val="pt-PT"/>
      </w:rPr>
      <w:t xml:space="preserve">COTONOU </w:t>
    </w:r>
    <w:r w:rsidR="000070CC">
      <w:rPr>
        <w:rFonts w:ascii="Montserrat Light" w:hAnsi="Montserrat Light"/>
        <w:sz w:val="16"/>
        <w:szCs w:val="16"/>
        <w:lang w:val="pt-PT"/>
      </w:rPr>
      <w:t>–</w:t>
    </w:r>
    <w:r w:rsidRPr="00262D3A">
      <w:rPr>
        <w:rFonts w:ascii="Montserrat Light" w:hAnsi="Montserrat Light"/>
        <w:sz w:val="16"/>
        <w:szCs w:val="16"/>
        <w:lang w:val="pt-PT"/>
      </w:rPr>
      <w:t xml:space="preserve"> BENIN</w:t>
    </w:r>
    <w:r w:rsidR="000070CC">
      <w:rPr>
        <w:rFonts w:ascii="Montserrat Light" w:hAnsi="Montserrat Light"/>
        <w:sz w:val="16"/>
        <w:szCs w:val="16"/>
        <w:lang w:val="pt-PT"/>
      </w:rPr>
      <w:t xml:space="preserve">                                   </w:t>
    </w:r>
    <w:r w:rsidR="0053423F">
      <w:rPr>
        <w:rFonts w:ascii="Montserrat Light" w:hAnsi="Montserrat Light"/>
        <w:sz w:val="16"/>
        <w:szCs w:val="16"/>
        <w:lang w:val="pt-PT"/>
      </w:rPr>
      <w:t xml:space="preserve">      </w:t>
    </w:r>
    <w:r w:rsidRPr="00262D3A">
      <w:rPr>
        <w:rFonts w:ascii="Montserrat Light" w:hAnsi="Montserrat Light"/>
        <w:sz w:val="16"/>
        <w:szCs w:val="16"/>
      </w:rPr>
      <w:t xml:space="preserve">IFU : 4201001686513                      </w:t>
    </w:r>
  </w:p>
  <w:p w:rsidR="00136ABB" w:rsidRPr="00D27E57" w:rsidRDefault="009050D4" w:rsidP="00AD0E64">
    <w:pPr>
      <w:pStyle w:val="Pieddepage"/>
      <w:tabs>
        <w:tab w:val="left" w:pos="6096"/>
        <w:tab w:val="left" w:pos="6379"/>
      </w:tabs>
      <w:rPr>
        <w:sz w:val="18"/>
        <w:szCs w:val="18"/>
      </w:rPr>
    </w:pPr>
    <w:r>
      <w:rPr>
        <w:rFonts w:ascii="Montserrat Light" w:hAnsi="Montserrat Light"/>
        <w:sz w:val="16"/>
        <w:szCs w:val="16"/>
        <w:lang w:val="pt-PT"/>
      </w:rPr>
      <w:t xml:space="preserve">                    </w:t>
    </w:r>
    <w:r w:rsidR="00136ABB" w:rsidRPr="00262D3A">
      <w:rPr>
        <w:rFonts w:ascii="Montserrat Light" w:hAnsi="Montserrat Light"/>
        <w:sz w:val="16"/>
        <w:szCs w:val="16"/>
        <w:lang w:val="pt-PT"/>
      </w:rPr>
      <w:t xml:space="preserve">21-30-82-45                     </w:t>
    </w:r>
    <w:r w:rsidR="0053423F">
      <w:rPr>
        <w:rFonts w:ascii="Montserrat Light" w:hAnsi="Montserrat Light"/>
        <w:sz w:val="16"/>
        <w:szCs w:val="16"/>
        <w:lang w:val="pt-PT"/>
      </w:rPr>
      <w:t xml:space="preserve">                 </w:t>
    </w:r>
    <w:r w:rsidR="00136ABB" w:rsidRPr="00262D3A">
      <w:rPr>
        <w:rFonts w:ascii="Montserrat Light" w:hAnsi="Montserrat Light"/>
        <w:sz w:val="16"/>
        <w:szCs w:val="16"/>
        <w:lang w:val="pt-PT"/>
      </w:rPr>
      <w:t xml:space="preserve">E-mail : </w:t>
    </w:r>
    <w:hyperlink r:id="rId1" w:history="1">
      <w:r w:rsidR="00136ABB" w:rsidRPr="007B4AD3">
        <w:rPr>
          <w:rStyle w:val="Lienhypertexte"/>
          <w:rFonts w:ascii="Montserrat Light" w:hAnsi="Montserrat Light"/>
          <w:sz w:val="16"/>
          <w:szCs w:val="16"/>
          <w:lang w:val="pt-PT"/>
        </w:rPr>
        <w:t>insae@insae.bj</w:t>
      </w:r>
    </w:hyperlink>
    <w:r w:rsidR="000070CC">
      <w:t xml:space="preserve">                                           </w:t>
    </w:r>
    <w:r w:rsidR="0053423F">
      <w:t xml:space="preserve">     </w:t>
    </w:r>
    <w:r w:rsidR="00136ABB" w:rsidRPr="00262D3A">
      <w:rPr>
        <w:rFonts w:ascii="Montserrat Light" w:hAnsi="Montserrat Light"/>
        <w:sz w:val="16"/>
        <w:szCs w:val="16"/>
      </w:rPr>
      <w:t xml:space="preserve">Site Web : </w:t>
    </w:r>
    <w:r w:rsidR="00136ABB" w:rsidRPr="0062689B">
      <w:rPr>
        <w:rFonts w:ascii="Montserrat Light" w:hAnsi="Montserrat Light"/>
        <w:sz w:val="16"/>
        <w:szCs w:val="16"/>
        <w:u w:val="single"/>
      </w:rPr>
      <w:t>www.insae.bj</w:t>
    </w:r>
  </w:p>
  <w:p w:rsidR="00136ABB" w:rsidRDefault="00136ABB">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75E" w:rsidRDefault="002A075E">
      <w:r>
        <w:separator/>
      </w:r>
    </w:p>
  </w:footnote>
  <w:footnote w:type="continuationSeparator" w:id="1">
    <w:p w:rsidR="002A075E" w:rsidRDefault="002A075E">
      <w:r>
        <w:continuationSeparator/>
      </w:r>
    </w:p>
  </w:footnote>
  <w:footnote w:id="2">
    <w:p w:rsidR="00136ABB" w:rsidRPr="00091BE3" w:rsidRDefault="00136ABB"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364437"/>
    <w:rsid w:val="000070CC"/>
    <w:rsid w:val="00015224"/>
    <w:rsid w:val="00017FDB"/>
    <w:rsid w:val="00025F0B"/>
    <w:rsid w:val="0003200C"/>
    <w:rsid w:val="000323F2"/>
    <w:rsid w:val="00052360"/>
    <w:rsid w:val="000526CE"/>
    <w:rsid w:val="00053949"/>
    <w:rsid w:val="00070A4E"/>
    <w:rsid w:val="00075822"/>
    <w:rsid w:val="000814FF"/>
    <w:rsid w:val="000B537B"/>
    <w:rsid w:val="000C45BD"/>
    <w:rsid w:val="000D0552"/>
    <w:rsid w:val="001006AD"/>
    <w:rsid w:val="00101AFF"/>
    <w:rsid w:val="00104905"/>
    <w:rsid w:val="00104AC7"/>
    <w:rsid w:val="00123C7B"/>
    <w:rsid w:val="00136ABB"/>
    <w:rsid w:val="0015436C"/>
    <w:rsid w:val="00154663"/>
    <w:rsid w:val="00154BDD"/>
    <w:rsid w:val="00186229"/>
    <w:rsid w:val="0019394B"/>
    <w:rsid w:val="00194F76"/>
    <w:rsid w:val="00195FF9"/>
    <w:rsid w:val="001A3E20"/>
    <w:rsid w:val="001A60CB"/>
    <w:rsid w:val="001B2909"/>
    <w:rsid w:val="001C3A4D"/>
    <w:rsid w:val="001D642F"/>
    <w:rsid w:val="00200463"/>
    <w:rsid w:val="00205F6C"/>
    <w:rsid w:val="00211BED"/>
    <w:rsid w:val="002213B9"/>
    <w:rsid w:val="00222F57"/>
    <w:rsid w:val="0023290D"/>
    <w:rsid w:val="00235369"/>
    <w:rsid w:val="0023597F"/>
    <w:rsid w:val="002370EA"/>
    <w:rsid w:val="00240F78"/>
    <w:rsid w:val="00260480"/>
    <w:rsid w:val="00262D3A"/>
    <w:rsid w:val="002661DB"/>
    <w:rsid w:val="00287418"/>
    <w:rsid w:val="00294508"/>
    <w:rsid w:val="002A075E"/>
    <w:rsid w:val="002A775F"/>
    <w:rsid w:val="002C4BBA"/>
    <w:rsid w:val="002E26B4"/>
    <w:rsid w:val="003022A6"/>
    <w:rsid w:val="003030A5"/>
    <w:rsid w:val="0030459A"/>
    <w:rsid w:val="0030704E"/>
    <w:rsid w:val="003256CC"/>
    <w:rsid w:val="003325FE"/>
    <w:rsid w:val="00332968"/>
    <w:rsid w:val="0033692A"/>
    <w:rsid w:val="00336A6A"/>
    <w:rsid w:val="0034156F"/>
    <w:rsid w:val="003460E8"/>
    <w:rsid w:val="00352E34"/>
    <w:rsid w:val="00356D08"/>
    <w:rsid w:val="00360546"/>
    <w:rsid w:val="00364437"/>
    <w:rsid w:val="003671B8"/>
    <w:rsid w:val="0039225F"/>
    <w:rsid w:val="00394056"/>
    <w:rsid w:val="00397D09"/>
    <w:rsid w:val="003A5639"/>
    <w:rsid w:val="003A7171"/>
    <w:rsid w:val="003B1E9B"/>
    <w:rsid w:val="003B48B9"/>
    <w:rsid w:val="003B5C79"/>
    <w:rsid w:val="003C343B"/>
    <w:rsid w:val="003D1F89"/>
    <w:rsid w:val="003D3CEE"/>
    <w:rsid w:val="003E2810"/>
    <w:rsid w:val="003F7A38"/>
    <w:rsid w:val="0040497C"/>
    <w:rsid w:val="00416C85"/>
    <w:rsid w:val="00422F07"/>
    <w:rsid w:val="0042781F"/>
    <w:rsid w:val="00443B27"/>
    <w:rsid w:val="00450496"/>
    <w:rsid w:val="00451C49"/>
    <w:rsid w:val="00453753"/>
    <w:rsid w:val="004542EC"/>
    <w:rsid w:val="00456052"/>
    <w:rsid w:val="004577D5"/>
    <w:rsid w:val="0046672A"/>
    <w:rsid w:val="004749CB"/>
    <w:rsid w:val="00487666"/>
    <w:rsid w:val="004A7351"/>
    <w:rsid w:val="004B0E3A"/>
    <w:rsid w:val="004C0AB0"/>
    <w:rsid w:val="004D533D"/>
    <w:rsid w:val="004D75B7"/>
    <w:rsid w:val="004D7E57"/>
    <w:rsid w:val="004D7FDD"/>
    <w:rsid w:val="004E4B8A"/>
    <w:rsid w:val="005034F5"/>
    <w:rsid w:val="005121E1"/>
    <w:rsid w:val="00522AB6"/>
    <w:rsid w:val="00530285"/>
    <w:rsid w:val="0053423F"/>
    <w:rsid w:val="00553A9E"/>
    <w:rsid w:val="005758FB"/>
    <w:rsid w:val="00580DCF"/>
    <w:rsid w:val="005810A3"/>
    <w:rsid w:val="00581389"/>
    <w:rsid w:val="0058147B"/>
    <w:rsid w:val="00583CFA"/>
    <w:rsid w:val="00583FBC"/>
    <w:rsid w:val="005867FF"/>
    <w:rsid w:val="005A5C89"/>
    <w:rsid w:val="005B0154"/>
    <w:rsid w:val="005B289E"/>
    <w:rsid w:val="005B4051"/>
    <w:rsid w:val="005C18B2"/>
    <w:rsid w:val="005C5AA9"/>
    <w:rsid w:val="005D1F00"/>
    <w:rsid w:val="005D2D79"/>
    <w:rsid w:val="005D4C2E"/>
    <w:rsid w:val="005E3A2C"/>
    <w:rsid w:val="005F31C6"/>
    <w:rsid w:val="00602416"/>
    <w:rsid w:val="0061426F"/>
    <w:rsid w:val="00615488"/>
    <w:rsid w:val="0062242D"/>
    <w:rsid w:val="0062689B"/>
    <w:rsid w:val="00630B86"/>
    <w:rsid w:val="00636321"/>
    <w:rsid w:val="00637FA0"/>
    <w:rsid w:val="006565B1"/>
    <w:rsid w:val="00690FC6"/>
    <w:rsid w:val="006972F4"/>
    <w:rsid w:val="006A7CC5"/>
    <w:rsid w:val="006D563C"/>
    <w:rsid w:val="006E2DEF"/>
    <w:rsid w:val="006F2DDD"/>
    <w:rsid w:val="00702005"/>
    <w:rsid w:val="00721CA6"/>
    <w:rsid w:val="0072309F"/>
    <w:rsid w:val="00733198"/>
    <w:rsid w:val="00751F08"/>
    <w:rsid w:val="007545AB"/>
    <w:rsid w:val="00754CAC"/>
    <w:rsid w:val="00761BE6"/>
    <w:rsid w:val="007633A3"/>
    <w:rsid w:val="00767ADC"/>
    <w:rsid w:val="00770D05"/>
    <w:rsid w:val="00770ED4"/>
    <w:rsid w:val="00785524"/>
    <w:rsid w:val="007A2730"/>
    <w:rsid w:val="007A2F55"/>
    <w:rsid w:val="007A45A1"/>
    <w:rsid w:val="007B2C2C"/>
    <w:rsid w:val="007B2EE2"/>
    <w:rsid w:val="007C7C6E"/>
    <w:rsid w:val="007D17BA"/>
    <w:rsid w:val="007D59A2"/>
    <w:rsid w:val="007E6837"/>
    <w:rsid w:val="007F5C5D"/>
    <w:rsid w:val="0080208F"/>
    <w:rsid w:val="00812092"/>
    <w:rsid w:val="0081467C"/>
    <w:rsid w:val="00831075"/>
    <w:rsid w:val="008316F1"/>
    <w:rsid w:val="00836A66"/>
    <w:rsid w:val="00844BD0"/>
    <w:rsid w:val="008636B0"/>
    <w:rsid w:val="00873ED6"/>
    <w:rsid w:val="00890434"/>
    <w:rsid w:val="008A4593"/>
    <w:rsid w:val="008B5D6B"/>
    <w:rsid w:val="008D1DD5"/>
    <w:rsid w:val="008D49FD"/>
    <w:rsid w:val="008E3D0C"/>
    <w:rsid w:val="008E5A57"/>
    <w:rsid w:val="008E620E"/>
    <w:rsid w:val="008F03D9"/>
    <w:rsid w:val="009050D4"/>
    <w:rsid w:val="00930E3D"/>
    <w:rsid w:val="00931FD3"/>
    <w:rsid w:val="00945573"/>
    <w:rsid w:val="009533F3"/>
    <w:rsid w:val="00955E41"/>
    <w:rsid w:val="009615E2"/>
    <w:rsid w:val="009656B7"/>
    <w:rsid w:val="00971549"/>
    <w:rsid w:val="0097441C"/>
    <w:rsid w:val="0097627D"/>
    <w:rsid w:val="00983E63"/>
    <w:rsid w:val="009A1366"/>
    <w:rsid w:val="009A19C1"/>
    <w:rsid w:val="009A2E9F"/>
    <w:rsid w:val="009A47B7"/>
    <w:rsid w:val="009B1041"/>
    <w:rsid w:val="009B79F4"/>
    <w:rsid w:val="009D13C0"/>
    <w:rsid w:val="009D4B94"/>
    <w:rsid w:val="009E1CF0"/>
    <w:rsid w:val="009F11B5"/>
    <w:rsid w:val="00A00B1E"/>
    <w:rsid w:val="00A238DB"/>
    <w:rsid w:val="00A25E79"/>
    <w:rsid w:val="00A44EFD"/>
    <w:rsid w:val="00A50B4A"/>
    <w:rsid w:val="00A50E0E"/>
    <w:rsid w:val="00A55318"/>
    <w:rsid w:val="00A65022"/>
    <w:rsid w:val="00A73086"/>
    <w:rsid w:val="00A86877"/>
    <w:rsid w:val="00AC011D"/>
    <w:rsid w:val="00AD0E64"/>
    <w:rsid w:val="00B00AB2"/>
    <w:rsid w:val="00B0115D"/>
    <w:rsid w:val="00B16003"/>
    <w:rsid w:val="00B164D2"/>
    <w:rsid w:val="00B26D4B"/>
    <w:rsid w:val="00B41C78"/>
    <w:rsid w:val="00B54150"/>
    <w:rsid w:val="00B54C88"/>
    <w:rsid w:val="00B57B13"/>
    <w:rsid w:val="00B8553D"/>
    <w:rsid w:val="00BA3597"/>
    <w:rsid w:val="00BB5036"/>
    <w:rsid w:val="00BD59F7"/>
    <w:rsid w:val="00BE28ED"/>
    <w:rsid w:val="00BF01EA"/>
    <w:rsid w:val="00BF596E"/>
    <w:rsid w:val="00C0481C"/>
    <w:rsid w:val="00C15A3B"/>
    <w:rsid w:val="00C15E77"/>
    <w:rsid w:val="00C2412B"/>
    <w:rsid w:val="00C26A1D"/>
    <w:rsid w:val="00C41D2B"/>
    <w:rsid w:val="00C44AD1"/>
    <w:rsid w:val="00C51117"/>
    <w:rsid w:val="00C75B0A"/>
    <w:rsid w:val="00C80059"/>
    <w:rsid w:val="00C80FD5"/>
    <w:rsid w:val="00C83454"/>
    <w:rsid w:val="00C843F9"/>
    <w:rsid w:val="00C963FD"/>
    <w:rsid w:val="00CA6611"/>
    <w:rsid w:val="00CB09E8"/>
    <w:rsid w:val="00CB0B44"/>
    <w:rsid w:val="00CC6C64"/>
    <w:rsid w:val="00CF4A89"/>
    <w:rsid w:val="00D0573E"/>
    <w:rsid w:val="00D06349"/>
    <w:rsid w:val="00D13313"/>
    <w:rsid w:val="00D20BC4"/>
    <w:rsid w:val="00D21A64"/>
    <w:rsid w:val="00D30AFA"/>
    <w:rsid w:val="00D34197"/>
    <w:rsid w:val="00D670C6"/>
    <w:rsid w:val="00D90815"/>
    <w:rsid w:val="00DA066E"/>
    <w:rsid w:val="00DB6180"/>
    <w:rsid w:val="00DC45BA"/>
    <w:rsid w:val="00DE174A"/>
    <w:rsid w:val="00DE3D28"/>
    <w:rsid w:val="00E30742"/>
    <w:rsid w:val="00E30F76"/>
    <w:rsid w:val="00E36D16"/>
    <w:rsid w:val="00E44FB0"/>
    <w:rsid w:val="00E60E7F"/>
    <w:rsid w:val="00E61568"/>
    <w:rsid w:val="00E61B69"/>
    <w:rsid w:val="00E65DE1"/>
    <w:rsid w:val="00E731F6"/>
    <w:rsid w:val="00EA37C7"/>
    <w:rsid w:val="00EB071D"/>
    <w:rsid w:val="00EB07A7"/>
    <w:rsid w:val="00EB1632"/>
    <w:rsid w:val="00EF0798"/>
    <w:rsid w:val="00EF12EE"/>
    <w:rsid w:val="00EF4E7A"/>
    <w:rsid w:val="00EF65B5"/>
    <w:rsid w:val="00F069C9"/>
    <w:rsid w:val="00F22D57"/>
    <w:rsid w:val="00F35A3C"/>
    <w:rsid w:val="00F4774D"/>
    <w:rsid w:val="00F81425"/>
    <w:rsid w:val="00F95652"/>
    <w:rsid w:val="00FA6EAE"/>
    <w:rsid w:val="00FC3DC3"/>
    <w:rsid w:val="00FC5523"/>
    <w:rsid w:val="00FD3299"/>
    <w:rsid w:val="00FE0938"/>
    <w:rsid w:val="00FE17DC"/>
    <w:rsid w:val="00FF5E2D"/>
    <w:rsid w:val="00FF5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r="http://schemas.openxmlformats.org/officeDocument/2006/relationships" xmlns:w="http://schemas.openxmlformats.org/wordprocessingml/2006/main">
  <w:divs>
    <w:div w:id="618226931">
      <w:bodyDiv w:val="1"/>
      <w:marLeft w:val="0"/>
      <w:marRight w:val="0"/>
      <w:marTop w:val="0"/>
      <w:marBottom w:val="0"/>
      <w:divBdr>
        <w:top w:val="none" w:sz="0" w:space="0" w:color="auto"/>
        <w:left w:val="none" w:sz="0" w:space="0" w:color="auto"/>
        <w:bottom w:val="none" w:sz="0" w:space="0" w:color="auto"/>
        <w:right w:val="none" w:sz="0" w:space="0" w:color="auto"/>
      </w:divBdr>
    </w:div>
    <w:div w:id="697850661">
      <w:bodyDiv w:val="1"/>
      <w:marLeft w:val="0"/>
      <w:marRight w:val="0"/>
      <w:marTop w:val="0"/>
      <w:marBottom w:val="0"/>
      <w:divBdr>
        <w:top w:val="none" w:sz="0" w:space="0" w:color="auto"/>
        <w:left w:val="none" w:sz="0" w:space="0" w:color="auto"/>
        <w:bottom w:val="none" w:sz="0" w:space="0" w:color="auto"/>
        <w:right w:val="none" w:sz="0" w:space="0" w:color="auto"/>
      </w:divBdr>
    </w:div>
    <w:div w:id="848063597">
      <w:bodyDiv w:val="1"/>
      <w:marLeft w:val="0"/>
      <w:marRight w:val="0"/>
      <w:marTop w:val="0"/>
      <w:marBottom w:val="0"/>
      <w:divBdr>
        <w:top w:val="none" w:sz="0" w:space="0" w:color="auto"/>
        <w:left w:val="none" w:sz="0" w:space="0" w:color="auto"/>
        <w:bottom w:val="none" w:sz="0" w:space="0" w:color="auto"/>
        <w:right w:val="none" w:sz="0" w:space="0" w:color="auto"/>
      </w:divBdr>
    </w:div>
    <w:div w:id="933784418">
      <w:bodyDiv w:val="1"/>
      <w:marLeft w:val="0"/>
      <w:marRight w:val="0"/>
      <w:marTop w:val="0"/>
      <w:marBottom w:val="0"/>
      <w:divBdr>
        <w:top w:val="none" w:sz="0" w:space="0" w:color="auto"/>
        <w:left w:val="none" w:sz="0" w:space="0" w:color="auto"/>
        <w:bottom w:val="none" w:sz="0" w:space="0" w:color="auto"/>
        <w:right w:val="none" w:sz="0" w:space="0" w:color="auto"/>
      </w:divBdr>
    </w:div>
    <w:div w:id="1614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Avril%202021\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Avril%202021\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Avril%202021\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Avril%202021\Fichier%20publication%20IHP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vice%20Prix\Desktop\INHPC\Avril%202021\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9.0909090909091231E-2"/>
          <c:y val="4.1666807952229899E-2"/>
          <c:w val="0.83442050263197665"/>
          <c:h val="0.7615762613006708"/>
        </c:manualLayout>
      </c:layout>
      <c:lineChart>
        <c:grouping val="standard"/>
        <c:ser>
          <c:idx val="0"/>
          <c:order val="0"/>
          <c:tx>
            <c:strRef>
              <c:f>'Evol taux d''inf'!$A$2</c:f>
              <c:strCache>
                <c:ptCount val="1"/>
                <c:pt idx="0">
                  <c:v>Taux d'inflation (en critère de convergence)</c:v>
                </c:pt>
              </c:strCache>
            </c:strRef>
          </c:tx>
          <c:cat>
            <c:numRef>
              <c:f>'Evol taux d''inf'!$B$1:$Z$1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'Evol taux d''inf'!$B$2:$Z$2</c:f>
              <c:numCache>
                <c:formatCode>0.0%</c:formatCode>
                <c:ptCount val="25"/>
                <c:pt idx="0">
                  <c:v>6.7334068362507916E-3</c:v>
                </c:pt>
                <c:pt idx="1">
                  <c:v>4.4030542586241984E-3</c:v>
                </c:pt>
                <c:pt idx="2">
                  <c:v>-1.6434280615471605E-3</c:v>
                </c:pt>
                <c:pt idx="3">
                  <c:v>-6.3395884444654793E-3</c:v>
                </c:pt>
                <c:pt idx="4">
                  <c:v>-8.7401092706833727E-3</c:v>
                </c:pt>
                <c:pt idx="5">
                  <c:v>-1.0732861317790087E-2</c:v>
                </c:pt>
                <c:pt idx="6">
                  <c:v>-1.1244557741498608E-2</c:v>
                </c:pt>
                <c:pt idx="7">
                  <c:v>-9.5605523631186115E-3</c:v>
                </c:pt>
                <c:pt idx="8">
                  <c:v>-9.1677761877134688E-3</c:v>
                </c:pt>
                <c:pt idx="9">
                  <c:v>-9.4735340612615345E-3</c:v>
                </c:pt>
                <c:pt idx="10">
                  <c:v>-5.5692576164446828E-3</c:v>
                </c:pt>
                <c:pt idx="11">
                  <c:v>-4.1690264853228185E-3</c:v>
                </c:pt>
                <c:pt idx="12">
                  <c:v>-2.697085265478412E-4</c:v>
                </c:pt>
                <c:pt idx="13">
                  <c:v>2.4228380120114856E-3</c:v>
                </c:pt>
                <c:pt idx="14">
                  <c:v>8.815710021580896E-3</c:v>
                </c:pt>
                <c:pt idx="15">
                  <c:v>1.4415128700460599E-2</c:v>
                </c:pt>
                <c:pt idx="16">
                  <c:v>1.9689888687677796E-2</c:v>
                </c:pt>
                <c:pt idx="17">
                  <c:v>2.5109728727676986E-2</c:v>
                </c:pt>
                <c:pt idx="18">
                  <c:v>2.9204194580787279E-2</c:v>
                </c:pt>
                <c:pt idx="19">
                  <c:v>2.9733840799217419E-2</c:v>
                </c:pt>
                <c:pt idx="20">
                  <c:v>3.034045771013941E-2</c:v>
                </c:pt>
                <c:pt idx="21">
                  <c:v>2.9402485650161379E-2</c:v>
                </c:pt>
                <c:pt idx="22">
                  <c:v>2.4960882674448293E-2</c:v>
                </c:pt>
                <c:pt idx="23">
                  <c:v>2.2731017741560819E-2</c:v>
                </c:pt>
                <c:pt idx="24">
                  <c:v>2.0472449881975347E-2</c:v>
                </c:pt>
              </c:numCache>
            </c:numRef>
          </c:val>
        </c:ser>
        <c:marker val="1"/>
        <c:axId val="178933760"/>
        <c:axId val="178936448"/>
      </c:lineChart>
      <c:dateAx>
        <c:axId val="178933760"/>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8936448"/>
        <c:crosses val="autoZero"/>
        <c:auto val="1"/>
        <c:lblOffset val="100"/>
        <c:baseTimeUnit val="months"/>
        <c:majorUnit val="1"/>
        <c:majorTimeUnit val="months"/>
      </c:dateAx>
      <c:valAx>
        <c:axId val="178936448"/>
        <c:scaling>
          <c:orientation val="minMax"/>
        </c:scaling>
        <c:axPos val="l"/>
        <c:numFmt formatCode="0.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8933760"/>
        <c:crosses val="autoZero"/>
        <c:crossBetween val="between"/>
      </c:valAx>
    </c:plotArea>
    <c:legend>
      <c:legendPos val="r"/>
      <c:layout>
        <c:manualLayout>
          <c:xMode val="edge"/>
          <c:yMode val="edge"/>
          <c:x val="0.30452133264363851"/>
          <c:y val="0.8430494922311963"/>
          <c:w val="0.51824817518248179"/>
          <c:h val="0.1569505077688074"/>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3888910761154855"/>
          <c:y val="3.7037037037037056E-2"/>
          <c:w val="0.84190266841644801"/>
          <c:h val="0.50323038461118552"/>
        </c:manualLayout>
      </c:layout>
      <c:lineChart>
        <c:grouping val="standard"/>
        <c:ser>
          <c:idx val="0"/>
          <c:order val="0"/>
          <c:tx>
            <c:strRef>
              <c:f>'Indice global et IHPFE'!$A$2</c:f>
              <c:strCache>
                <c:ptCount val="1"/>
                <c:pt idx="0">
                  <c:v>indice global</c:v>
                </c:pt>
              </c:strCache>
            </c:strRef>
          </c:tx>
          <c:marker>
            <c:symbol val="none"/>
          </c:marker>
          <c:cat>
            <c:numRef>
              <c:f>'Indice global et IHPFE'!$B$1:$Z$1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global et IHPFE'!$B$2:$Z$2</c:f>
              <c:numCache>
                <c:formatCode>0</c:formatCode>
                <c:ptCount val="25"/>
                <c:pt idx="0">
                  <c:v>100.59786500000011</c:v>
                </c:pt>
                <c:pt idx="1">
                  <c:v>102.25299000000001</c:v>
                </c:pt>
                <c:pt idx="2">
                  <c:v>100.5478130000002</c:v>
                </c:pt>
                <c:pt idx="3">
                  <c:v>101.265495</c:v>
                </c:pt>
                <c:pt idx="4">
                  <c:v>100.13558900000001</c:v>
                </c:pt>
                <c:pt idx="5">
                  <c:v>99.654729999999986</c:v>
                </c:pt>
                <c:pt idx="6">
                  <c:v>100.45093699999998</c:v>
                </c:pt>
                <c:pt idx="7">
                  <c:v>102.25340300000002</c:v>
                </c:pt>
                <c:pt idx="8">
                  <c:v>101.45709400000011</c:v>
                </c:pt>
                <c:pt idx="9">
                  <c:v>103.13486300000002</c:v>
                </c:pt>
                <c:pt idx="10">
                  <c:v>104.17036799999987</c:v>
                </c:pt>
                <c:pt idx="11">
                  <c:v>103.70098599999997</c:v>
                </c:pt>
                <c:pt idx="12" formatCode="0.0">
                  <c:v>103.78508400000001</c:v>
                </c:pt>
                <c:pt idx="13" formatCode="0.0">
                  <c:v>104.54825599999999</c:v>
                </c:pt>
                <c:pt idx="14" formatCode="0.0">
                  <c:v>104.40264599999999</c:v>
                </c:pt>
                <c:pt idx="15" formatCode="0.0">
                  <c:v>105.36057199999998</c:v>
                </c:pt>
                <c:pt idx="16" formatCode="0.0">
                  <c:v>104.81240799999998</c:v>
                </c:pt>
                <c:pt idx="17" formatCode="0.0">
                  <c:v>104.49181000000013</c:v>
                </c:pt>
                <c:pt idx="18" formatCode="0.0">
                  <c:v>104.92507599999998</c:v>
                </c:pt>
                <c:pt idx="19" formatCode="0.0">
                  <c:v>104.40885400000002</c:v>
                </c:pt>
                <c:pt idx="20" formatCode="0.0">
                  <c:v>102.62185199999998</c:v>
                </c:pt>
                <c:pt idx="21" formatCode="0.0">
                  <c:v>102.31235799999995</c:v>
                </c:pt>
                <c:pt idx="22" formatCode="0.0">
                  <c:v>102.30344249494975</c:v>
                </c:pt>
                <c:pt idx="23" formatCode="0.0">
                  <c:v>103.15378399999989</c:v>
                </c:pt>
                <c:pt idx="24" formatCode="0.0">
                  <c:v>104.28343799999998</c:v>
                </c:pt>
              </c:numCache>
            </c:numRef>
          </c:val>
        </c:ser>
        <c:ser>
          <c:idx val="1"/>
          <c:order val="1"/>
          <c:tx>
            <c:strRef>
              <c:f>'Indice global et IHPFE'!$A$3</c:f>
              <c:strCache>
                <c:ptCount val="1"/>
                <c:pt idx="0">
                  <c:v>Indice hors énergie, hors produits frais</c:v>
                </c:pt>
              </c:strCache>
            </c:strRef>
          </c:tx>
          <c:spPr>
            <a:ln>
              <a:headEnd type="oval"/>
            </a:ln>
          </c:spPr>
          <c:marker>
            <c:symbol val="none"/>
          </c:marker>
          <c:cat>
            <c:numRef>
              <c:f>'Indice global et IHPFE'!$B$1:$Z$1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global et IHPFE'!$B$3:$Z$3</c:f>
              <c:numCache>
                <c:formatCode>0</c:formatCode>
                <c:ptCount val="25"/>
                <c:pt idx="0">
                  <c:v>101.88334732294948</c:v>
                </c:pt>
                <c:pt idx="1">
                  <c:v>101.29173680872955</c:v>
                </c:pt>
                <c:pt idx="2">
                  <c:v>99.080495771138374</c:v>
                </c:pt>
                <c:pt idx="3">
                  <c:v>100.72</c:v>
                </c:pt>
                <c:pt idx="4">
                  <c:v>98.953448448556614</c:v>
                </c:pt>
                <c:pt idx="5">
                  <c:v>102.7</c:v>
                </c:pt>
                <c:pt idx="6">
                  <c:v>102.48</c:v>
                </c:pt>
                <c:pt idx="7">
                  <c:v>102.44000000000013</c:v>
                </c:pt>
                <c:pt idx="8">
                  <c:v>102.51</c:v>
                </c:pt>
                <c:pt idx="9">
                  <c:v>104.23</c:v>
                </c:pt>
                <c:pt idx="10">
                  <c:v>104.74000000000002</c:v>
                </c:pt>
                <c:pt idx="11">
                  <c:v>103.97</c:v>
                </c:pt>
                <c:pt idx="12" formatCode="0.0">
                  <c:v>104.09</c:v>
                </c:pt>
                <c:pt idx="13" formatCode="0.0">
                  <c:v>104.21000000000002</c:v>
                </c:pt>
                <c:pt idx="14" formatCode="General">
                  <c:v>104.32</c:v>
                </c:pt>
                <c:pt idx="15" formatCode="General">
                  <c:v>105.56</c:v>
                </c:pt>
                <c:pt idx="16" formatCode="0.0">
                  <c:v>105.97</c:v>
                </c:pt>
                <c:pt idx="17" formatCode="0.0">
                  <c:v>106.19</c:v>
                </c:pt>
                <c:pt idx="18" formatCode="General">
                  <c:v>106.11999999999999</c:v>
                </c:pt>
                <c:pt idx="19" formatCode="0.0">
                  <c:v>106.26</c:v>
                </c:pt>
                <c:pt idx="20" formatCode="0.0">
                  <c:v>105.33</c:v>
                </c:pt>
                <c:pt idx="21" formatCode="0.0">
                  <c:v>104.8</c:v>
                </c:pt>
                <c:pt idx="22" formatCode="0.0">
                  <c:v>104.56829416562344</c:v>
                </c:pt>
                <c:pt idx="23" formatCode="0.0">
                  <c:v>104.66892691855372</c:v>
                </c:pt>
                <c:pt idx="24" formatCode="0.0">
                  <c:v>105.14007150715054</c:v>
                </c:pt>
              </c:numCache>
            </c:numRef>
          </c:val>
        </c:ser>
        <c:marker val="1"/>
        <c:axId val="175488000"/>
        <c:axId val="121570048"/>
      </c:lineChart>
      <c:dateAx>
        <c:axId val="175488000"/>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21570048"/>
        <c:crosses val="autoZero"/>
        <c:auto val="1"/>
        <c:lblOffset val="100"/>
        <c:baseTimeUnit val="months"/>
        <c:majorUnit val="1"/>
        <c:majorTimeUnit val="months"/>
        <c:minorUnit val="1"/>
        <c:minorTimeUnit val="months"/>
      </c:dateAx>
      <c:valAx>
        <c:axId val="121570048"/>
        <c:scaling>
          <c:orientation val="minMax"/>
          <c:min val="98"/>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5488000"/>
        <c:crosses val="autoZero"/>
        <c:crossBetween val="between"/>
      </c:valAx>
    </c:plotArea>
    <c:legend>
      <c:legendPos val="r"/>
      <c:layout>
        <c:manualLayout>
          <c:xMode val="edge"/>
          <c:yMode val="edge"/>
          <c:x val="0.10440113870737039"/>
          <c:y val="0.77937182720335485"/>
          <c:w val="0.79791796809246518"/>
          <c:h val="7.6389288548233583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909090909091064E-2"/>
          <c:y val="4.1666807952229823E-2"/>
          <c:w val="0.83442050263197665"/>
          <c:h val="0.47056120647781696"/>
        </c:manualLayout>
      </c:layout>
      <c:lineChart>
        <c:grouping val="standard"/>
        <c:ser>
          <c:idx val="0"/>
          <c:order val="0"/>
          <c:tx>
            <c:strRef>
              <c:f>'Indice global et produits alime'!$A$2</c:f>
              <c:strCache>
                <c:ptCount val="1"/>
                <c:pt idx="0">
                  <c:v>indice global</c:v>
                </c:pt>
              </c:strCache>
            </c:strRef>
          </c:tx>
          <c:marker>
            <c:symbol val="none"/>
          </c:marker>
          <c:cat>
            <c:numRef>
              <c:f>'Indice global et produits alime'!$B$1:$Z$1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global et produits alime'!$B$2:$Z$2</c:f>
              <c:numCache>
                <c:formatCode>0</c:formatCode>
                <c:ptCount val="25"/>
                <c:pt idx="0">
                  <c:v>100.59786500000011</c:v>
                </c:pt>
                <c:pt idx="1">
                  <c:v>102.25299000000001</c:v>
                </c:pt>
                <c:pt idx="2">
                  <c:v>100.5478130000002</c:v>
                </c:pt>
                <c:pt idx="3">
                  <c:v>101.265495</c:v>
                </c:pt>
                <c:pt idx="4">
                  <c:v>100.13558900000001</c:v>
                </c:pt>
                <c:pt idx="5">
                  <c:v>99.654729999999986</c:v>
                </c:pt>
                <c:pt idx="6">
                  <c:v>100.45093699999998</c:v>
                </c:pt>
                <c:pt idx="7">
                  <c:v>102.25340300000002</c:v>
                </c:pt>
                <c:pt idx="8">
                  <c:v>101.45709400000011</c:v>
                </c:pt>
                <c:pt idx="9">
                  <c:v>103.13486300000002</c:v>
                </c:pt>
                <c:pt idx="10">
                  <c:v>104.17036799999987</c:v>
                </c:pt>
                <c:pt idx="11">
                  <c:v>103.70098599999997</c:v>
                </c:pt>
                <c:pt idx="12" formatCode="0.00">
                  <c:v>103.78508400000001</c:v>
                </c:pt>
                <c:pt idx="13" formatCode="0.0">
                  <c:v>104.54825599999999</c:v>
                </c:pt>
                <c:pt idx="14" formatCode="0.0">
                  <c:v>104.40264599999999</c:v>
                </c:pt>
                <c:pt idx="15" formatCode="0.0">
                  <c:v>105.36057199999998</c:v>
                </c:pt>
                <c:pt idx="16" formatCode="0.0">
                  <c:v>104.81240799999998</c:v>
                </c:pt>
                <c:pt idx="17" formatCode="0.0">
                  <c:v>104.49181000000013</c:v>
                </c:pt>
                <c:pt idx="18" formatCode="0.0">
                  <c:v>104.92507599999998</c:v>
                </c:pt>
                <c:pt idx="19" formatCode="0.0">
                  <c:v>104.40885400000002</c:v>
                </c:pt>
                <c:pt idx="20" formatCode="0.0">
                  <c:v>102.62185199999998</c:v>
                </c:pt>
                <c:pt idx="21" formatCode="0.0">
                  <c:v>102.31235799999995</c:v>
                </c:pt>
                <c:pt idx="22" formatCode="0.0">
                  <c:v>102.30344249494975</c:v>
                </c:pt>
                <c:pt idx="23" formatCode="0.0">
                  <c:v>103.15378399999989</c:v>
                </c:pt>
                <c:pt idx="24" formatCode="0.0">
                  <c:v>104.28343799999998</c:v>
                </c:pt>
              </c:numCache>
            </c:numRef>
          </c:val>
        </c:ser>
        <c:ser>
          <c:idx val="1"/>
          <c:order val="1"/>
          <c:tx>
            <c:strRef>
              <c:f>'Indice global et produits alime'!$A$3</c:f>
              <c:strCache>
                <c:ptCount val="1"/>
                <c:pt idx="0">
                  <c:v>Indice produits alimentaires et boissons non alcoolisées</c:v>
                </c:pt>
              </c:strCache>
            </c:strRef>
          </c:tx>
          <c:spPr>
            <a:ln>
              <a:headEnd type="diamond"/>
            </a:ln>
          </c:spPr>
          <c:marker>
            <c:symbol val="none"/>
          </c:marker>
          <c:cat>
            <c:numRef>
              <c:f>'Indice global et produits alime'!$B$1:$Z$1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global et produits alime'!$B$3:$Z$3</c:f>
              <c:numCache>
                <c:formatCode>0</c:formatCode>
                <c:ptCount val="25"/>
                <c:pt idx="0">
                  <c:v>99.940000000000026</c:v>
                </c:pt>
                <c:pt idx="1">
                  <c:v>106.46000000000002</c:v>
                </c:pt>
                <c:pt idx="2">
                  <c:v>101.42</c:v>
                </c:pt>
                <c:pt idx="3">
                  <c:v>103.49000000000002</c:v>
                </c:pt>
                <c:pt idx="4">
                  <c:v>97.669999999999987</c:v>
                </c:pt>
                <c:pt idx="5">
                  <c:v>93.47</c:v>
                </c:pt>
                <c:pt idx="6">
                  <c:v>96.77</c:v>
                </c:pt>
                <c:pt idx="7">
                  <c:v>99.5</c:v>
                </c:pt>
                <c:pt idx="8">
                  <c:v>97</c:v>
                </c:pt>
                <c:pt idx="9">
                  <c:v>101.52</c:v>
                </c:pt>
                <c:pt idx="10">
                  <c:v>103.57</c:v>
                </c:pt>
                <c:pt idx="11">
                  <c:v>102.41000000000012</c:v>
                </c:pt>
                <c:pt idx="12" formatCode="0.00">
                  <c:v>103.04</c:v>
                </c:pt>
                <c:pt idx="13" formatCode="0.0">
                  <c:v>105.36999999999999</c:v>
                </c:pt>
                <c:pt idx="14" formatCode="General">
                  <c:v>105.24000000000002</c:v>
                </c:pt>
                <c:pt idx="15" formatCode="General">
                  <c:v>105.61999999999999</c:v>
                </c:pt>
                <c:pt idx="16" formatCode="0.0">
                  <c:v>103.94000000000013</c:v>
                </c:pt>
                <c:pt idx="17" formatCode="0.0">
                  <c:v>102.34</c:v>
                </c:pt>
                <c:pt idx="18" formatCode="0.0">
                  <c:v>104.07</c:v>
                </c:pt>
                <c:pt idx="19" formatCode="0.0">
                  <c:v>102.85</c:v>
                </c:pt>
                <c:pt idx="20" formatCode="0.0">
                  <c:v>101.19</c:v>
                </c:pt>
                <c:pt idx="21" formatCode="0.0">
                  <c:v>101.22</c:v>
                </c:pt>
                <c:pt idx="22" formatCode="0.0">
                  <c:v>101.04047365516433</c:v>
                </c:pt>
                <c:pt idx="23" formatCode="0.0">
                  <c:v>103.58</c:v>
                </c:pt>
                <c:pt idx="24" formatCode="0.0">
                  <c:v>106.02</c:v>
                </c:pt>
              </c:numCache>
            </c:numRef>
          </c:val>
        </c:ser>
        <c:marker val="1"/>
        <c:axId val="178868992"/>
        <c:axId val="178870528"/>
      </c:lineChart>
      <c:dateAx>
        <c:axId val="178868992"/>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8870528"/>
        <c:crossesAt val="90"/>
        <c:auto val="1"/>
        <c:lblOffset val="100"/>
        <c:baseTimeUnit val="months"/>
        <c:majorUnit val="1"/>
        <c:majorTimeUnit val="months"/>
      </c:dateAx>
      <c:valAx>
        <c:axId val="178870528"/>
        <c:scaling>
          <c:orientation val="minMax"/>
          <c:min val="90"/>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8868992"/>
        <c:crosses val="autoZero"/>
        <c:crossBetween val="between"/>
      </c:valAx>
    </c:plotArea>
    <c:legend>
      <c:legendPos val="r"/>
      <c:layout>
        <c:manualLayout>
          <c:xMode val="edge"/>
          <c:yMode val="edge"/>
          <c:x val="3.0232887737511052E-2"/>
          <c:y val="0.73123555738647406"/>
          <c:w val="0.95869805477400405"/>
          <c:h val="7.6389253426655146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9583333333333348E-2"/>
          <c:y val="4.1666666666666664E-2"/>
          <c:w val="0.8125"/>
          <c:h val="0.51834490465102212"/>
        </c:manualLayout>
      </c:layout>
      <c:lineChart>
        <c:grouping val="standard"/>
        <c:ser>
          <c:idx val="0"/>
          <c:order val="0"/>
          <c:tx>
            <c:strRef>
              <c:f>'Indice logement et transport'!$A$2</c:f>
              <c:strCache>
                <c:ptCount val="1"/>
                <c:pt idx="0">
                  <c:v>Indice logement,eau, gaz, électricité et autres combustibles</c:v>
                </c:pt>
              </c:strCache>
            </c:strRef>
          </c:tx>
          <c:marker>
            <c:symbol val="none"/>
          </c:marker>
          <c:cat>
            <c:numRef>
              <c:f>'Indice logement et transport'!$B$1:$Z$1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logement et transport'!$B$2:$Z$2</c:f>
              <c:numCache>
                <c:formatCode>0.0</c:formatCode>
                <c:ptCount val="25"/>
                <c:pt idx="0">
                  <c:v>98.27</c:v>
                </c:pt>
                <c:pt idx="1">
                  <c:v>96.63</c:v>
                </c:pt>
                <c:pt idx="2" formatCode="General">
                  <c:v>97.01</c:v>
                </c:pt>
                <c:pt idx="3" formatCode="General">
                  <c:v>97.4</c:v>
                </c:pt>
                <c:pt idx="4">
                  <c:v>100.71000000000002</c:v>
                </c:pt>
                <c:pt idx="5" formatCode="General">
                  <c:v>99.32</c:v>
                </c:pt>
                <c:pt idx="6">
                  <c:v>99.7</c:v>
                </c:pt>
                <c:pt idx="7">
                  <c:v>104.4</c:v>
                </c:pt>
                <c:pt idx="8" formatCode="General">
                  <c:v>103.36</c:v>
                </c:pt>
                <c:pt idx="9">
                  <c:v>103.83</c:v>
                </c:pt>
                <c:pt idx="10" formatCode="General">
                  <c:v>103.3</c:v>
                </c:pt>
                <c:pt idx="11">
                  <c:v>104.17999999999998</c:v>
                </c:pt>
                <c:pt idx="12" formatCode="General">
                  <c:v>103.61999999999999</c:v>
                </c:pt>
                <c:pt idx="13" formatCode="General">
                  <c:v>103.25</c:v>
                </c:pt>
                <c:pt idx="14" formatCode="General">
                  <c:v>103.17999999999998</c:v>
                </c:pt>
                <c:pt idx="15">
                  <c:v>103.29</c:v>
                </c:pt>
                <c:pt idx="16">
                  <c:v>103.11</c:v>
                </c:pt>
                <c:pt idx="17">
                  <c:v>105.38</c:v>
                </c:pt>
                <c:pt idx="18" formatCode="General">
                  <c:v>101.92</c:v>
                </c:pt>
                <c:pt idx="19">
                  <c:v>100.66</c:v>
                </c:pt>
                <c:pt idx="20">
                  <c:v>97.55</c:v>
                </c:pt>
                <c:pt idx="21">
                  <c:v>98.28</c:v>
                </c:pt>
                <c:pt idx="22">
                  <c:v>97.67480443021671</c:v>
                </c:pt>
                <c:pt idx="23">
                  <c:v>97.35</c:v>
                </c:pt>
                <c:pt idx="24">
                  <c:v>97.990000000000023</c:v>
                </c:pt>
              </c:numCache>
            </c:numRef>
          </c:val>
        </c:ser>
        <c:ser>
          <c:idx val="1"/>
          <c:order val="1"/>
          <c:tx>
            <c:strRef>
              <c:f>'Indice logement et transport'!$A$3</c:f>
              <c:strCache>
                <c:ptCount val="1"/>
                <c:pt idx="0">
                  <c:v>Indice transport</c:v>
                </c:pt>
              </c:strCache>
            </c:strRef>
          </c:tx>
          <c:spPr>
            <a:ln>
              <a:headEnd type="oval"/>
            </a:ln>
          </c:spPr>
          <c:marker>
            <c:symbol val="none"/>
          </c:marker>
          <c:cat>
            <c:numRef>
              <c:f>'Indice logement et transport'!$B$1:$Z$1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logement et transport'!$B$3:$Z$3</c:f>
              <c:numCache>
                <c:formatCode>0.0</c:formatCode>
                <c:ptCount val="25"/>
                <c:pt idx="0">
                  <c:v>97.61</c:v>
                </c:pt>
                <c:pt idx="1">
                  <c:v>96.77</c:v>
                </c:pt>
                <c:pt idx="2" formatCode="General">
                  <c:v>96.36</c:v>
                </c:pt>
                <c:pt idx="3" formatCode="General">
                  <c:v>97.6</c:v>
                </c:pt>
                <c:pt idx="4">
                  <c:v>100.11</c:v>
                </c:pt>
                <c:pt idx="5" formatCode="General">
                  <c:v>110.34</c:v>
                </c:pt>
                <c:pt idx="6">
                  <c:v>106.16999999999999</c:v>
                </c:pt>
                <c:pt idx="7">
                  <c:v>108.14999999999999</c:v>
                </c:pt>
                <c:pt idx="8" formatCode="General">
                  <c:v>110.47</c:v>
                </c:pt>
                <c:pt idx="9">
                  <c:v>108.89</c:v>
                </c:pt>
                <c:pt idx="10" formatCode="General">
                  <c:v>110.34</c:v>
                </c:pt>
                <c:pt idx="11">
                  <c:v>108.28</c:v>
                </c:pt>
                <c:pt idx="12" formatCode="General">
                  <c:v>107.29</c:v>
                </c:pt>
                <c:pt idx="13" formatCode="General">
                  <c:v>106.66999999999999</c:v>
                </c:pt>
                <c:pt idx="14" formatCode="General">
                  <c:v>105.72</c:v>
                </c:pt>
                <c:pt idx="15">
                  <c:v>112.01</c:v>
                </c:pt>
                <c:pt idx="16">
                  <c:v>111.69</c:v>
                </c:pt>
                <c:pt idx="17">
                  <c:v>111.88</c:v>
                </c:pt>
                <c:pt idx="18" formatCode="General">
                  <c:v>111.94000000000013</c:v>
                </c:pt>
                <c:pt idx="19">
                  <c:v>111.47</c:v>
                </c:pt>
                <c:pt idx="20">
                  <c:v>107.55</c:v>
                </c:pt>
                <c:pt idx="21">
                  <c:v>104.57</c:v>
                </c:pt>
                <c:pt idx="22">
                  <c:v>105.05584167309337</c:v>
                </c:pt>
                <c:pt idx="23">
                  <c:v>105.04</c:v>
                </c:pt>
                <c:pt idx="24">
                  <c:v>106.11</c:v>
                </c:pt>
              </c:numCache>
            </c:numRef>
          </c:val>
        </c:ser>
        <c:marker val="1"/>
        <c:axId val="178886912"/>
        <c:axId val="178896896"/>
      </c:lineChart>
      <c:dateAx>
        <c:axId val="178886912"/>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8896896"/>
        <c:crosses val="autoZero"/>
        <c:auto val="1"/>
        <c:lblOffset val="100"/>
        <c:baseTimeUnit val="months"/>
        <c:majorUnit val="1"/>
        <c:majorTimeUnit val="months"/>
        <c:minorUnit val="1"/>
        <c:minorTimeUnit val="months"/>
      </c:dateAx>
      <c:valAx>
        <c:axId val="178896896"/>
        <c:scaling>
          <c:orientation val="minMax"/>
          <c:min val="95"/>
        </c:scaling>
        <c:axPos val="l"/>
        <c:numFmt formatCode="0.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8886912"/>
        <c:crosses val="autoZero"/>
        <c:crossBetween val="between"/>
      </c:valAx>
    </c:plotArea>
    <c:legend>
      <c:legendPos val="r"/>
      <c:layout>
        <c:manualLayout>
          <c:xMode val="edge"/>
          <c:yMode val="edge"/>
          <c:x val="0.15218126398232407"/>
          <c:y val="0.79922581971007678"/>
          <c:w val="0.78333479148439789"/>
          <c:h val="0.1022911009326167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000020345093522"/>
          <c:y val="4.1666807952229823E-2"/>
          <c:w val="0.82231408573928022"/>
          <c:h val="0.6455654677752205"/>
        </c:manualLayout>
      </c:layout>
      <c:lineChart>
        <c:grouping val="standard"/>
        <c:ser>
          <c:idx val="0"/>
          <c:order val="0"/>
          <c:tx>
            <c:strRef>
              <c:f>'Indice origine'!$A$2</c:f>
              <c:strCache>
                <c:ptCount val="1"/>
                <c:pt idx="0">
                  <c:v>Importés</c:v>
                </c:pt>
              </c:strCache>
            </c:strRef>
          </c:tx>
          <c:marker>
            <c:symbol val="none"/>
          </c:marker>
          <c:cat>
            <c:numRef>
              <c:f>'Indice origine'!$B$1:$Z$1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origine'!$B$2:$Z$2</c:f>
              <c:numCache>
                <c:formatCode>0</c:formatCode>
                <c:ptCount val="25"/>
                <c:pt idx="0">
                  <c:v>98.979339232793478</c:v>
                </c:pt>
                <c:pt idx="1">
                  <c:v>98.248566098207959</c:v>
                </c:pt>
                <c:pt idx="2">
                  <c:v>98.897146553273799</c:v>
                </c:pt>
                <c:pt idx="3">
                  <c:v>99.321204943557007</c:v>
                </c:pt>
                <c:pt idx="4">
                  <c:v>98.569924508133496</c:v>
                </c:pt>
                <c:pt idx="5">
                  <c:v>101.46000000000002</c:v>
                </c:pt>
                <c:pt idx="6">
                  <c:v>101.33</c:v>
                </c:pt>
                <c:pt idx="7">
                  <c:v>101.81</c:v>
                </c:pt>
                <c:pt idx="8">
                  <c:v>101.93</c:v>
                </c:pt>
                <c:pt idx="9">
                  <c:v>101.54</c:v>
                </c:pt>
                <c:pt idx="10">
                  <c:v>102.85</c:v>
                </c:pt>
                <c:pt idx="11">
                  <c:v>102.08</c:v>
                </c:pt>
                <c:pt idx="12" formatCode="General">
                  <c:v>101.61999999999999</c:v>
                </c:pt>
                <c:pt idx="13" formatCode="General">
                  <c:v>101.66999999999999</c:v>
                </c:pt>
                <c:pt idx="14" formatCode="General">
                  <c:v>101.47</c:v>
                </c:pt>
                <c:pt idx="15" formatCode="General">
                  <c:v>102.11</c:v>
                </c:pt>
                <c:pt idx="16" formatCode="0.0">
                  <c:v>102.53</c:v>
                </c:pt>
                <c:pt idx="17" formatCode="0.0">
                  <c:v>102.28</c:v>
                </c:pt>
                <c:pt idx="18" formatCode="0.0">
                  <c:v>102.36999999999999</c:v>
                </c:pt>
                <c:pt idx="19" formatCode="0.0">
                  <c:v>102.22</c:v>
                </c:pt>
                <c:pt idx="20" formatCode="0.0">
                  <c:v>101.4</c:v>
                </c:pt>
                <c:pt idx="21" formatCode="0.0">
                  <c:v>101.33</c:v>
                </c:pt>
                <c:pt idx="22" formatCode="0.0">
                  <c:v>101.14924783602822</c:v>
                </c:pt>
                <c:pt idx="23" formatCode="0.0">
                  <c:v>101.27040490879355</c:v>
                </c:pt>
                <c:pt idx="24" formatCode="0.0">
                  <c:v>101.53138203952587</c:v>
                </c:pt>
              </c:numCache>
            </c:numRef>
          </c:val>
        </c:ser>
        <c:ser>
          <c:idx val="1"/>
          <c:order val="1"/>
          <c:tx>
            <c:strRef>
              <c:f>'Indice origine'!$A$3</c:f>
              <c:strCache>
                <c:ptCount val="1"/>
                <c:pt idx="0">
                  <c:v>Locaux</c:v>
                </c:pt>
              </c:strCache>
            </c:strRef>
          </c:tx>
          <c:spPr>
            <a:ln>
              <a:headEnd type="diamond"/>
            </a:ln>
          </c:spPr>
          <c:marker>
            <c:symbol val="none"/>
          </c:marker>
          <c:cat>
            <c:numRef>
              <c:f>'Indice origine'!$B$1:$Z$1</c:f>
              <c:numCache>
                <c:formatCode>mmm\-yy</c:formatCode>
                <c:ptCount val="25"/>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numCache>
            </c:numRef>
          </c:cat>
          <c:val>
            <c:numRef>
              <c:f>'Indice origine'!$B$3:$Z$3</c:f>
              <c:numCache>
                <c:formatCode>0</c:formatCode>
                <c:ptCount val="25"/>
                <c:pt idx="0">
                  <c:v>101.20963517768301</c:v>
                </c:pt>
                <c:pt idx="1">
                  <c:v>103.76658167185009</c:v>
                </c:pt>
                <c:pt idx="2">
                  <c:v>100.8047467278998</c:v>
                </c:pt>
                <c:pt idx="3">
                  <c:v>102.18585845939398</c:v>
                </c:pt>
                <c:pt idx="4">
                  <c:v>100.72737867909454</c:v>
                </c:pt>
                <c:pt idx="5">
                  <c:v>99.75</c:v>
                </c:pt>
                <c:pt idx="6">
                  <c:v>100.81</c:v>
                </c:pt>
                <c:pt idx="7">
                  <c:v>105.14</c:v>
                </c:pt>
                <c:pt idx="8">
                  <c:v>101.81</c:v>
                </c:pt>
                <c:pt idx="9">
                  <c:v>104.42</c:v>
                </c:pt>
                <c:pt idx="10">
                  <c:v>105.01</c:v>
                </c:pt>
                <c:pt idx="11">
                  <c:v>104.9</c:v>
                </c:pt>
                <c:pt idx="12" formatCode="General">
                  <c:v>105.35</c:v>
                </c:pt>
                <c:pt idx="13" formatCode="General">
                  <c:v>106.59</c:v>
                </c:pt>
                <c:pt idx="14" formatCode="General">
                  <c:v>106.36</c:v>
                </c:pt>
                <c:pt idx="15" formatCode="General">
                  <c:v>107.29</c:v>
                </c:pt>
                <c:pt idx="16" formatCode="0.0">
                  <c:v>106.72</c:v>
                </c:pt>
                <c:pt idx="17" formatCode="0.0">
                  <c:v>106.29</c:v>
                </c:pt>
                <c:pt idx="18" formatCode="0.0">
                  <c:v>106.89</c:v>
                </c:pt>
                <c:pt idx="19" formatCode="0.0">
                  <c:v>107.27</c:v>
                </c:pt>
                <c:pt idx="20" formatCode="0.0">
                  <c:v>103.85</c:v>
                </c:pt>
                <c:pt idx="21" formatCode="0.0">
                  <c:v>103.16999999999999</c:v>
                </c:pt>
                <c:pt idx="22" formatCode="0.0">
                  <c:v>102.39003617308833</c:v>
                </c:pt>
                <c:pt idx="23" formatCode="0.0">
                  <c:v>103.78487362236906</c:v>
                </c:pt>
                <c:pt idx="24" formatCode="0.0">
                  <c:v>105.20547741094627</c:v>
                </c:pt>
              </c:numCache>
            </c:numRef>
          </c:val>
        </c:ser>
        <c:marker val="1"/>
        <c:axId val="178909184"/>
        <c:axId val="178910720"/>
      </c:lineChart>
      <c:dateAx>
        <c:axId val="178909184"/>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8910720"/>
        <c:crosses val="autoZero"/>
        <c:auto val="1"/>
        <c:lblOffset val="100"/>
        <c:baseTimeUnit val="months"/>
        <c:majorUnit val="1"/>
        <c:majorTimeUnit val="months"/>
        <c:minorUnit val="1"/>
        <c:minorTimeUnit val="months"/>
      </c:dateAx>
      <c:valAx>
        <c:axId val="178910720"/>
        <c:scaling>
          <c:orientation val="minMax"/>
          <c:min val="95"/>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8909184"/>
        <c:crosses val="autoZero"/>
        <c:crossBetween val="between"/>
      </c:valAx>
    </c:plotArea>
    <c:legend>
      <c:legendPos val="r"/>
      <c:layout>
        <c:manualLayout>
          <c:xMode val="edge"/>
          <c:yMode val="edge"/>
          <c:x val="0.34201817562456954"/>
          <c:y val="0.92223072874089751"/>
          <c:w val="0.34791732283464777"/>
          <c:h val="7.6389253426655146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86E6-A160-42FE-900F-DBD11AC1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2407</Words>
  <Characters>13239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Service Prix</cp:lastModifiedBy>
  <cp:revision>34</cp:revision>
  <cp:lastPrinted>2021-05-10T16:04:00Z</cp:lastPrinted>
  <dcterms:created xsi:type="dcterms:W3CDTF">2021-05-06T14:39:00Z</dcterms:created>
  <dcterms:modified xsi:type="dcterms:W3CDTF">2021-05-11T07:48:00Z</dcterms:modified>
</cp:coreProperties>
</file>