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8" w:type="dxa"/>
        <w:tblInd w:w="-432" w:type="dxa"/>
        <w:tblLook w:val="01E0" w:firstRow="1" w:lastRow="1" w:firstColumn="1" w:lastColumn="1" w:noHBand="0" w:noVBand="0"/>
      </w:tblPr>
      <w:tblGrid>
        <w:gridCol w:w="2658"/>
        <w:gridCol w:w="7980"/>
      </w:tblGrid>
      <w:tr w:rsidR="00364437" w:rsidRPr="000E4F80" w:rsidTr="003F7A38">
        <w:trPr>
          <w:trHeight w:val="1556"/>
        </w:trPr>
        <w:tc>
          <w:tcPr>
            <w:tcW w:w="2658" w:type="dxa"/>
            <w:tcBorders>
              <w:bottom w:val="thinThickSmallGap" w:sz="24" w:space="0" w:color="339966"/>
            </w:tcBorders>
          </w:tcPr>
          <w:p w:rsidR="00364437" w:rsidRPr="002E63E2" w:rsidRDefault="00364437" w:rsidP="003671B8">
            <w:pPr>
              <w:rPr>
                <w:lang w:val="en-US"/>
              </w:rPr>
            </w:pPr>
            <w:r w:rsidRPr="00891A88">
              <w:rPr>
                <w:rFonts w:ascii="Trebuchet MS" w:hAnsi="Trebuchet MS"/>
                <w:noProof/>
                <w:sz w:val="20"/>
                <w:szCs w:val="20"/>
                <w:lang w:eastAsia="fr-FR"/>
              </w:rPr>
              <w:drawing>
                <wp:inline distT="0" distB="0" distL="0" distR="0">
                  <wp:extent cx="1009650" cy="967563"/>
                  <wp:effectExtent l="0" t="0" r="0" b="4445"/>
                  <wp:docPr id="1" name="Image 1" descr="Logo-INSA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INSA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360" cy="973993"/>
                          </a:xfrm>
                          <a:prstGeom prst="rect">
                            <a:avLst/>
                          </a:prstGeom>
                          <a:noFill/>
                          <a:ln>
                            <a:noFill/>
                          </a:ln>
                        </pic:spPr>
                      </pic:pic>
                    </a:graphicData>
                  </a:graphic>
                </wp:inline>
              </w:drawing>
            </w:r>
          </w:p>
        </w:tc>
        <w:tc>
          <w:tcPr>
            <w:tcW w:w="7980" w:type="dxa"/>
            <w:tcBorders>
              <w:bottom w:val="thinThickSmallGap" w:sz="24" w:space="0" w:color="339966"/>
            </w:tcBorders>
          </w:tcPr>
          <w:p w:rsidR="00364437" w:rsidRPr="007A2730" w:rsidRDefault="00364437" w:rsidP="00890434">
            <w:pPr>
              <w:jc w:val="center"/>
              <w:rPr>
                <w:rFonts w:ascii="Montserrat Light" w:hAnsi="Montserrat Light" w:cs="Arial"/>
                <w:b/>
                <w:bCs/>
                <w:smallCaps/>
                <w:sz w:val="20"/>
                <w:szCs w:val="20"/>
              </w:rPr>
            </w:pPr>
            <w:r w:rsidRPr="007A2730">
              <w:rPr>
                <w:rFonts w:ascii="Montserrat Light" w:hAnsi="Montserrat Light" w:cs="Arial"/>
                <w:bCs/>
                <w:smallCaps/>
                <w:sz w:val="20"/>
                <w:szCs w:val="20"/>
              </w:rPr>
              <w:t>République du Bénin</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7A2730" w:rsidRDefault="00364437" w:rsidP="00890434">
            <w:pPr>
              <w:jc w:val="center"/>
              <w:rPr>
                <w:rFonts w:ascii="Montserrat Light" w:hAnsi="Montserrat Light" w:cs="Arial"/>
                <w:bCs/>
                <w:smallCaps/>
                <w:sz w:val="20"/>
                <w:szCs w:val="20"/>
              </w:rPr>
            </w:pPr>
            <w:r w:rsidRPr="007A2730">
              <w:rPr>
                <w:rFonts w:ascii="Montserrat Light" w:hAnsi="Montserrat Light" w:cs="Arial"/>
                <w:bCs/>
                <w:smallCaps/>
                <w:sz w:val="20"/>
                <w:szCs w:val="20"/>
              </w:rPr>
              <w:t>Ministère Du Plan et Du Développement</w:t>
            </w:r>
          </w:p>
          <w:p w:rsidR="00364437" w:rsidRPr="007A2730" w:rsidRDefault="00364437" w:rsidP="00890434">
            <w:pPr>
              <w:jc w:val="center"/>
              <w:rPr>
                <w:rFonts w:ascii="Montserrat Light" w:hAnsi="Montserrat Light"/>
                <w:bCs/>
                <w:smallCaps/>
                <w:sz w:val="20"/>
                <w:szCs w:val="20"/>
              </w:rPr>
            </w:pPr>
            <w:r w:rsidRPr="007A2730">
              <w:rPr>
                <w:rFonts w:ascii="Montserrat Light" w:hAnsi="Montserrat Light"/>
                <w:bCs/>
                <w:smallCaps/>
                <w:sz w:val="20"/>
                <w:szCs w:val="20"/>
              </w:rPr>
              <w:t>≈≈≈≈≈≈≈</w:t>
            </w:r>
          </w:p>
          <w:p w:rsidR="00364437" w:rsidRPr="00FC2162" w:rsidRDefault="00364437" w:rsidP="00890434">
            <w:pPr>
              <w:jc w:val="center"/>
              <w:rPr>
                <w:b/>
                <w:bCs/>
                <w:smallCaps/>
                <w:sz w:val="20"/>
                <w:szCs w:val="20"/>
              </w:rPr>
            </w:pPr>
            <w:r w:rsidRPr="007A2730">
              <w:rPr>
                <w:rFonts w:ascii="Montserrat Light" w:hAnsi="Montserrat Light" w:cs="Arial"/>
                <w:bCs/>
                <w:smallCaps/>
                <w:sz w:val="20"/>
                <w:szCs w:val="20"/>
              </w:rPr>
              <w:t>Institut</w:t>
            </w:r>
            <w:r w:rsidR="00B41C78">
              <w:rPr>
                <w:rFonts w:ascii="Montserrat Light" w:hAnsi="Montserrat Light" w:cs="Arial"/>
                <w:bCs/>
                <w:smallCaps/>
                <w:sz w:val="20"/>
                <w:szCs w:val="20"/>
              </w:rPr>
              <w:t xml:space="preserve"> </w:t>
            </w:r>
            <w:r w:rsidRPr="007A2730">
              <w:rPr>
                <w:rFonts w:ascii="Montserrat Light" w:hAnsi="Montserrat Light" w:cs="Arial"/>
                <w:bCs/>
                <w:smallCaps/>
                <w:sz w:val="20"/>
                <w:szCs w:val="20"/>
              </w:rPr>
              <w:t>National de la  Statistique  et de  l’Analyse  Economique</w:t>
            </w:r>
          </w:p>
        </w:tc>
      </w:tr>
    </w:tbl>
    <w:p w:rsidR="007A2730" w:rsidRDefault="00767ADC" w:rsidP="007F5C5D">
      <w:pPr>
        <w:tabs>
          <w:tab w:val="left" w:pos="2562"/>
        </w:tabs>
      </w:pPr>
      <w:r>
        <w:rPr>
          <w:noProof/>
          <w:lang w:eastAsia="fr-FR"/>
        </w:rPr>
        <w:pict>
          <v:shapetype id="_x0000_t202" coordsize="21600,21600" o:spt="202" path="m,l,21600r21600,l21600,xe">
            <v:stroke joinstyle="miter"/>
            <v:path gradientshapeok="t" o:connecttype="rect"/>
          </v:shapetype>
          <v:shape id="Text Box 10" o:spid="_x0000_s1026" type="#_x0000_t202" style="position:absolute;margin-left:-6.05pt;margin-top:7.9pt;width:497.2pt;height:34.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">
            <v:textbox>
              <w:txbxContent>
                <w:p w:rsidR="007A45A1" w:rsidRPr="00262D3A" w:rsidRDefault="007A45A1"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sidRPr="00262D3A">
                    <w:rPr>
                      <w:rFonts w:ascii="Times New Roman" w:hAnsi="Times New Roman" w:cs="Times New Roman"/>
                      <w:b/>
                      <w:sz w:val="24"/>
                      <w:szCs w:val="24"/>
                    </w:rPr>
                    <w:t>Indice Harmonisé des Prix à la Consommation</w:t>
                  </w:r>
                </w:p>
                <w:p w:rsidR="007A45A1" w:rsidRPr="00262D3A" w:rsidRDefault="007A45A1" w:rsidP="003671B8">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4"/>
                      <w:szCs w:val="24"/>
                    </w:rPr>
                  </w:pPr>
                  <w:r>
                    <w:rPr>
                      <w:rFonts w:ascii="Times New Roman" w:hAnsi="Times New Roman" w:cs="Times New Roman"/>
                      <w:b/>
                      <w:sz w:val="24"/>
                      <w:szCs w:val="24"/>
                    </w:rPr>
                    <w:t>National-mars 2021</w:t>
                  </w:r>
                </w:p>
              </w:txbxContent>
            </v:textbox>
          </v:shape>
        </w:pict>
      </w:r>
    </w:p>
    <w:p w:rsidR="003671B8" w:rsidRDefault="003671B8" w:rsidP="007F5C5D">
      <w:pPr>
        <w:tabs>
          <w:tab w:val="left" w:pos="2562"/>
        </w:tabs>
      </w:pPr>
    </w:p>
    <w:p w:rsidR="003671B8" w:rsidRPr="003671B8" w:rsidRDefault="003671B8" w:rsidP="003671B8"/>
    <w:p w:rsidR="003671B8" w:rsidRDefault="003671B8" w:rsidP="003671B8"/>
    <w:p w:rsidR="003671B8" w:rsidRPr="00B62E70" w:rsidRDefault="003671B8" w:rsidP="003671B8">
      <w:pPr>
        <w:rPr>
          <w:sz w:val="4"/>
          <w:szCs w:val="4"/>
        </w:rPr>
      </w:pP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outlineLvl w:val="0"/>
        <w:rPr>
          <w:rFonts w:ascii="Times New Roman" w:hAnsi="Times New Roman" w:cs="Times New Roman"/>
          <w:b/>
          <w:bCs/>
          <w:sz w:val="19"/>
          <w:szCs w:val="19"/>
        </w:rPr>
      </w:pPr>
      <w:r w:rsidRPr="00262D3A">
        <w:rPr>
          <w:rFonts w:ascii="Times New Roman" w:hAnsi="Times New Roman" w:cs="Times New Roman"/>
          <w:b/>
          <w:bCs/>
          <w:sz w:val="19"/>
          <w:szCs w:val="19"/>
        </w:rPr>
        <w:t>AVERTISSEMENT</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L’INSAE a le plaisir de mettre à la disposition des utilisateurs l’Indice Harmonisé des Prix à la Consommation (IHPC). Cet indice base 100, année 2014, mesure l’évolution des prix à la consommation au niveau national.</w:t>
      </w:r>
    </w:p>
    <w:p w:rsidR="003671B8" w:rsidRPr="00262D3A" w:rsidRDefault="003671B8" w:rsidP="003671B8">
      <w:pPr>
        <w:pBdr>
          <w:top w:val="double" w:sz="12" w:space="1" w:color="auto" w:shadow="1"/>
          <w:left w:val="double" w:sz="12" w:space="1" w:color="auto" w:shadow="1"/>
          <w:bottom w:val="double" w:sz="12" w:space="0" w:color="auto" w:shadow="1"/>
          <w:right w:val="double" w:sz="12" w:space="4" w:color="auto" w:shadow="1"/>
        </w:pBdr>
        <w:shd w:val="pct25" w:color="auto" w:fill="auto"/>
        <w:jc w:val="both"/>
        <w:rPr>
          <w:rFonts w:ascii="Times New Roman" w:hAnsi="Times New Roman" w:cs="Times New Roman"/>
          <w:sz w:val="19"/>
          <w:szCs w:val="19"/>
        </w:rPr>
      </w:pPr>
      <w:r w:rsidRPr="00262D3A">
        <w:rPr>
          <w:rFonts w:ascii="Times New Roman" w:hAnsi="Times New Roman" w:cs="Times New Roman"/>
          <w:sz w:val="19"/>
          <w:szCs w:val="19"/>
        </w:rPr>
        <w:t xml:space="preserve">L’IHPC a pour population de référence l’ensemble des ménages africains du Bénin à travers cinq (05) grandes régions de production à savoir </w:t>
      </w:r>
      <w:proofErr w:type="spellStart"/>
      <w:r w:rsidRPr="00262D3A">
        <w:rPr>
          <w:rFonts w:ascii="Times New Roman" w:hAnsi="Times New Roman" w:cs="Times New Roman"/>
          <w:sz w:val="19"/>
          <w:szCs w:val="19"/>
        </w:rPr>
        <w:t>Sud Ouest</w:t>
      </w:r>
      <w:proofErr w:type="spellEnd"/>
      <w:r w:rsidRPr="00262D3A">
        <w:rPr>
          <w:rFonts w:ascii="Times New Roman" w:hAnsi="Times New Roman" w:cs="Times New Roman"/>
          <w:sz w:val="19"/>
          <w:szCs w:val="19"/>
        </w:rPr>
        <w:t xml:space="preserve"> (Littoral, Atlantique, Mono et </w:t>
      </w:r>
      <w:proofErr w:type="spellStart"/>
      <w:r w:rsidRPr="00262D3A">
        <w:rPr>
          <w:rFonts w:ascii="Times New Roman" w:hAnsi="Times New Roman" w:cs="Times New Roman"/>
          <w:sz w:val="19"/>
          <w:szCs w:val="19"/>
        </w:rPr>
        <w:t>Couffo</w:t>
      </w:r>
      <w:proofErr w:type="spellEnd"/>
      <w:r w:rsidRPr="00262D3A">
        <w:rPr>
          <w:rFonts w:ascii="Times New Roman" w:hAnsi="Times New Roman" w:cs="Times New Roman"/>
          <w:sz w:val="19"/>
          <w:szCs w:val="19"/>
        </w:rPr>
        <w:t>), Sud Est (</w:t>
      </w:r>
      <w:proofErr w:type="spellStart"/>
      <w:r w:rsidRPr="00262D3A">
        <w:rPr>
          <w:rFonts w:ascii="Times New Roman" w:hAnsi="Times New Roman" w:cs="Times New Roman"/>
          <w:sz w:val="19"/>
          <w:szCs w:val="19"/>
        </w:rPr>
        <w:t>Ouémé</w:t>
      </w:r>
      <w:proofErr w:type="spellEnd"/>
      <w:r w:rsidRPr="00262D3A">
        <w:rPr>
          <w:rFonts w:ascii="Times New Roman" w:hAnsi="Times New Roman" w:cs="Times New Roman"/>
          <w:sz w:val="19"/>
          <w:szCs w:val="19"/>
        </w:rPr>
        <w:t>-Plateau), Centre (Zou-Collines), Nord Est (</w:t>
      </w:r>
      <w:proofErr w:type="spellStart"/>
      <w:r w:rsidRPr="00262D3A">
        <w:rPr>
          <w:rFonts w:ascii="Times New Roman" w:hAnsi="Times New Roman" w:cs="Times New Roman"/>
          <w:sz w:val="19"/>
          <w:szCs w:val="19"/>
        </w:rPr>
        <w:t>Borgou</w:t>
      </w:r>
      <w:proofErr w:type="spellEnd"/>
      <w:r w:rsidRPr="00262D3A">
        <w:rPr>
          <w:rFonts w:ascii="Times New Roman" w:hAnsi="Times New Roman" w:cs="Times New Roman"/>
          <w:sz w:val="19"/>
          <w:szCs w:val="19"/>
        </w:rPr>
        <w:t xml:space="preserve">-Alibori) et </w:t>
      </w:r>
      <w:proofErr w:type="spellStart"/>
      <w:r w:rsidRPr="00262D3A">
        <w:rPr>
          <w:rFonts w:ascii="Times New Roman" w:hAnsi="Times New Roman" w:cs="Times New Roman"/>
          <w:sz w:val="19"/>
          <w:szCs w:val="19"/>
        </w:rPr>
        <w:t>Nord Ouest</w:t>
      </w:r>
      <w:proofErr w:type="spellEnd"/>
      <w:r w:rsidRPr="00262D3A">
        <w:rPr>
          <w:rFonts w:ascii="Times New Roman" w:hAnsi="Times New Roman" w:cs="Times New Roman"/>
          <w:sz w:val="19"/>
          <w:szCs w:val="19"/>
        </w:rPr>
        <w:t xml:space="preserve"> (</w:t>
      </w:r>
      <w:proofErr w:type="spellStart"/>
      <w:r w:rsidRPr="00262D3A">
        <w:rPr>
          <w:rFonts w:ascii="Times New Roman" w:hAnsi="Times New Roman" w:cs="Times New Roman"/>
          <w:sz w:val="19"/>
          <w:szCs w:val="19"/>
        </w:rPr>
        <w:t>Atacora-Donga</w:t>
      </w:r>
      <w:proofErr w:type="spellEnd"/>
      <w:r w:rsidRPr="00262D3A">
        <w:rPr>
          <w:rFonts w:ascii="Times New Roman" w:hAnsi="Times New Roman" w:cs="Times New Roman"/>
          <w:sz w:val="19"/>
          <w:szCs w:val="19"/>
        </w:rPr>
        <w:t>). Chaque zone est composée d’un milieu urbain et de celui rural. L’indice national est la moyenne pondérée des indices des cinq régions. Le panier de la ménagère comprend 626 variétés suivies dans 1 889 points d’observation. Plus de 15 143 relevés de prix sont effectués chaque mois par les enquêteurs de l’INSAE. Les pondérations de l’indice proviennent de l’Enquête Modulaire Intégrée sur les Conditions de Vie des Ménages réalisée en  2011 (</w:t>
      </w:r>
      <w:proofErr w:type="spellStart"/>
      <w:r w:rsidRPr="00262D3A">
        <w:rPr>
          <w:rFonts w:ascii="Times New Roman" w:hAnsi="Times New Roman" w:cs="Times New Roman"/>
          <w:sz w:val="19"/>
          <w:szCs w:val="19"/>
        </w:rPr>
        <w:t>EMICoV</w:t>
      </w:r>
      <w:proofErr w:type="spellEnd"/>
      <w:r w:rsidRPr="00262D3A">
        <w:rPr>
          <w:rFonts w:ascii="Times New Roman" w:hAnsi="Times New Roman" w:cs="Times New Roman"/>
          <w:sz w:val="19"/>
          <w:szCs w:val="19"/>
        </w:rPr>
        <w:t xml:space="preserve"> 2011).</w:t>
      </w:r>
    </w:p>
    <w:p w:rsidR="003671B8" w:rsidRPr="00262D3A" w:rsidRDefault="003671B8" w:rsidP="003671B8">
      <w:pPr>
        <w:rPr>
          <w:rFonts w:ascii="Times New Roman" w:hAnsi="Times New Roman" w:cs="Times New Roman"/>
        </w:rPr>
      </w:pPr>
    </w:p>
    <w:p w:rsidR="003671B8" w:rsidRPr="00262D3A" w:rsidRDefault="003671B8" w:rsidP="003671B8">
      <w:pPr>
        <w:spacing w:line="312" w:lineRule="auto"/>
        <w:rPr>
          <w:rFonts w:ascii="Times New Roman" w:hAnsi="Times New Roman" w:cs="Times New Roman"/>
          <w:b/>
          <w:bCs/>
          <w:i/>
          <w:iCs/>
          <w:sz w:val="23"/>
          <w:szCs w:val="23"/>
        </w:rPr>
      </w:pPr>
      <w:r w:rsidRPr="00262D3A">
        <w:rPr>
          <w:rFonts w:ascii="Times New Roman" w:hAnsi="Times New Roman" w:cs="Times New Roman"/>
          <w:b/>
          <w:bCs/>
          <w:i/>
          <w:iCs/>
          <w:sz w:val="23"/>
          <w:szCs w:val="23"/>
        </w:rPr>
        <w:t>IHPC suivant les fonctions</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L’Indice Harmonisé des Prix à la Consommat</w:t>
      </w:r>
      <w:r w:rsidR="009E1CF0">
        <w:rPr>
          <w:rFonts w:ascii="Times New Roman" w:hAnsi="Times New Roman" w:cs="Times New Roman"/>
          <w:bCs/>
          <w:i/>
          <w:iCs/>
          <w:sz w:val="23"/>
          <w:szCs w:val="23"/>
        </w:rPr>
        <w:t xml:space="preserve">ion du mois de </w:t>
      </w:r>
      <w:r w:rsidR="008636B0">
        <w:rPr>
          <w:rFonts w:ascii="Times New Roman" w:hAnsi="Times New Roman" w:cs="Times New Roman"/>
          <w:bCs/>
          <w:i/>
          <w:iCs/>
          <w:sz w:val="23"/>
          <w:szCs w:val="23"/>
        </w:rPr>
        <w:t>mars 2021 est de 103</w:t>
      </w:r>
      <w:r w:rsidR="00530285">
        <w:rPr>
          <w:rFonts w:ascii="Times New Roman" w:hAnsi="Times New Roman" w:cs="Times New Roman"/>
          <w:bCs/>
          <w:i/>
          <w:iCs/>
          <w:sz w:val="23"/>
          <w:szCs w:val="23"/>
        </w:rPr>
        <w:t>,</w:t>
      </w:r>
      <w:r w:rsidR="008636B0">
        <w:rPr>
          <w:rFonts w:ascii="Times New Roman" w:hAnsi="Times New Roman" w:cs="Times New Roman"/>
          <w:bCs/>
          <w:i/>
          <w:iCs/>
          <w:sz w:val="23"/>
          <w:szCs w:val="23"/>
        </w:rPr>
        <w:t>2</w:t>
      </w:r>
      <w:r w:rsidR="00332968">
        <w:rPr>
          <w:rFonts w:ascii="Times New Roman" w:hAnsi="Times New Roman" w:cs="Times New Roman"/>
          <w:bCs/>
          <w:i/>
          <w:iCs/>
          <w:sz w:val="23"/>
          <w:szCs w:val="23"/>
        </w:rPr>
        <w:t>,</w:t>
      </w:r>
      <w:r w:rsidR="008636B0">
        <w:rPr>
          <w:rFonts w:ascii="Times New Roman" w:hAnsi="Times New Roman" w:cs="Times New Roman"/>
          <w:bCs/>
          <w:i/>
          <w:iCs/>
          <w:sz w:val="23"/>
          <w:szCs w:val="23"/>
        </w:rPr>
        <w:t xml:space="preserve"> contre 102,3</w:t>
      </w:r>
      <w:r w:rsidR="00C80FD5">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 xml:space="preserve">un mois plus tôt, soit une </w:t>
      </w:r>
      <w:r w:rsidR="008636B0">
        <w:rPr>
          <w:rFonts w:ascii="Times New Roman" w:hAnsi="Times New Roman" w:cs="Times New Roman"/>
          <w:bCs/>
          <w:i/>
          <w:iCs/>
          <w:sz w:val="23"/>
          <w:szCs w:val="23"/>
        </w:rPr>
        <w:t>hausse</w:t>
      </w:r>
      <w:r w:rsidRPr="00262D3A">
        <w:rPr>
          <w:rFonts w:ascii="Times New Roman" w:hAnsi="Times New Roman" w:cs="Times New Roman"/>
          <w:bCs/>
          <w:i/>
          <w:iCs/>
          <w:sz w:val="23"/>
          <w:szCs w:val="23"/>
        </w:rPr>
        <w:t xml:space="preserve"> de </w:t>
      </w:r>
      <w:r w:rsidR="008636B0">
        <w:rPr>
          <w:rFonts w:ascii="Times New Roman" w:hAnsi="Times New Roman" w:cs="Times New Roman"/>
          <w:b/>
          <w:bCs/>
          <w:i/>
          <w:iCs/>
          <w:sz w:val="23"/>
          <w:szCs w:val="23"/>
        </w:rPr>
        <w:t>0,9</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p>
    <w:p w:rsidR="003671B8" w:rsidRPr="00262D3A" w:rsidRDefault="00332968" w:rsidP="003671B8">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L’évolution mensuelle à la hausse de l’indice est imputable essentiellement au renchérissement</w:t>
      </w:r>
      <w:r w:rsidR="00C83454">
        <w:rPr>
          <w:rFonts w:ascii="Times New Roman" w:hAnsi="Times New Roman" w:cs="Times New Roman"/>
          <w:bCs/>
          <w:i/>
          <w:iCs/>
          <w:sz w:val="23"/>
          <w:szCs w:val="23"/>
        </w:rPr>
        <w:t xml:space="preserve"> des prix </w:t>
      </w:r>
      <w:r>
        <w:rPr>
          <w:rFonts w:ascii="Times New Roman" w:hAnsi="Times New Roman" w:cs="Times New Roman"/>
          <w:bCs/>
          <w:i/>
          <w:iCs/>
          <w:sz w:val="23"/>
          <w:szCs w:val="23"/>
        </w:rPr>
        <w:t xml:space="preserve">des biens </w:t>
      </w:r>
      <w:r w:rsidR="00C83454">
        <w:rPr>
          <w:rFonts w:ascii="Times New Roman" w:hAnsi="Times New Roman" w:cs="Times New Roman"/>
          <w:bCs/>
          <w:i/>
          <w:iCs/>
          <w:sz w:val="23"/>
          <w:szCs w:val="23"/>
        </w:rPr>
        <w:t xml:space="preserve">de la fonction </w:t>
      </w:r>
      <w:r w:rsidR="003671B8" w:rsidRPr="00262D3A">
        <w:rPr>
          <w:rFonts w:ascii="Times New Roman" w:hAnsi="Times New Roman" w:cs="Times New Roman"/>
          <w:bCs/>
          <w:i/>
          <w:iCs/>
          <w:sz w:val="23"/>
          <w:szCs w:val="23"/>
        </w:rPr>
        <w:t>«</w:t>
      </w:r>
      <w:r w:rsidR="00C83454">
        <w:rPr>
          <w:rFonts w:ascii="Times New Roman" w:hAnsi="Times New Roman" w:cs="Times New Roman"/>
          <w:bCs/>
          <w:i/>
          <w:iCs/>
          <w:sz w:val="23"/>
          <w:szCs w:val="23"/>
        </w:rPr>
        <w:t xml:space="preserve"> </w:t>
      </w:r>
      <w:r w:rsidR="00C83454" w:rsidRPr="00C83454">
        <w:rPr>
          <w:rFonts w:ascii="Times New Roman" w:hAnsi="Times New Roman" w:cs="Times New Roman"/>
          <w:bCs/>
          <w:i/>
          <w:iCs/>
          <w:sz w:val="23"/>
          <w:szCs w:val="23"/>
        </w:rPr>
        <w:t>Produits alimentaires et boissons non alcoolisées</w:t>
      </w:r>
      <w:r w:rsidR="00530285" w:rsidRPr="00C83454">
        <w:rPr>
          <w:rFonts w:ascii="Times New Roman" w:hAnsi="Times New Roman" w:cs="Times New Roman"/>
          <w:bCs/>
          <w:i/>
          <w:iCs/>
          <w:sz w:val="23"/>
          <w:szCs w:val="23"/>
        </w:rPr>
        <w:t> »</w:t>
      </w:r>
      <w:r w:rsidR="00C83454">
        <w:rPr>
          <w:rFonts w:ascii="Times New Roman" w:hAnsi="Times New Roman" w:cs="Times New Roman"/>
          <w:b/>
          <w:bCs/>
          <w:i/>
          <w:iCs/>
          <w:sz w:val="23"/>
          <w:szCs w:val="23"/>
        </w:rPr>
        <w:t xml:space="preserve"> (+2,6</w:t>
      </w:r>
      <w:r w:rsidR="003671B8" w:rsidRPr="00262D3A">
        <w:rPr>
          <w:rFonts w:ascii="Times New Roman" w:hAnsi="Times New Roman" w:cs="Times New Roman"/>
          <w:b/>
          <w:bCs/>
          <w:i/>
          <w:iCs/>
          <w:sz w:val="23"/>
          <w:szCs w:val="23"/>
        </w:rPr>
        <w:t>%</w:t>
      </w:r>
      <w:r w:rsidR="00C83454">
        <w:rPr>
          <w:rFonts w:ascii="Times New Roman" w:hAnsi="Times New Roman" w:cs="Times New Roman"/>
          <w:b/>
          <w:bCs/>
          <w:i/>
          <w:iCs/>
          <w:sz w:val="23"/>
          <w:szCs w:val="23"/>
        </w:rPr>
        <w:t>)</w:t>
      </w:r>
      <w:r w:rsidR="0040497C" w:rsidRPr="0040497C">
        <w:rPr>
          <w:rFonts w:ascii="Times New Roman" w:hAnsi="Times New Roman" w:cs="Times New Roman"/>
          <w:bCs/>
          <w:i/>
          <w:iCs/>
          <w:sz w:val="23"/>
          <w:szCs w:val="23"/>
        </w:rPr>
        <w:t>.</w:t>
      </w:r>
    </w:p>
    <w:p w:rsidR="003671B8" w:rsidRPr="00262D3A" w:rsidRDefault="00294508" w:rsidP="003671B8">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Les groupes de biens et services</w:t>
      </w:r>
      <w:r w:rsidR="003671B8" w:rsidRPr="00262D3A">
        <w:rPr>
          <w:rFonts w:ascii="Times New Roman" w:hAnsi="Times New Roman" w:cs="Times New Roman"/>
          <w:bCs/>
          <w:i/>
          <w:iCs/>
          <w:sz w:val="23"/>
          <w:szCs w:val="23"/>
        </w:rPr>
        <w:t xml:space="preserve"> dont les prix ont contribué à cette </w:t>
      </w:r>
      <w:r w:rsidR="00EB1632">
        <w:rPr>
          <w:rFonts w:ascii="Times New Roman" w:hAnsi="Times New Roman" w:cs="Times New Roman"/>
          <w:bCs/>
          <w:i/>
          <w:iCs/>
          <w:sz w:val="23"/>
          <w:szCs w:val="23"/>
        </w:rPr>
        <w:t>hausse</w:t>
      </w:r>
      <w:r w:rsidR="003671B8" w:rsidRPr="00262D3A">
        <w:rPr>
          <w:rFonts w:ascii="Times New Roman" w:hAnsi="Times New Roman" w:cs="Times New Roman"/>
          <w:bCs/>
          <w:i/>
          <w:iCs/>
          <w:sz w:val="23"/>
          <w:szCs w:val="23"/>
        </w:rPr>
        <w:t xml:space="preserve"> sont :</w:t>
      </w:r>
    </w:p>
    <w:p w:rsidR="00770D05" w:rsidRPr="00770D05" w:rsidRDefault="00770D05" w:rsidP="00770D05">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xml:space="preserve"> « </w:t>
      </w:r>
      <w:r w:rsidRPr="00017FDB">
        <w:rPr>
          <w:rFonts w:ascii="Times New Roman" w:hAnsi="Times New Roman" w:cs="Times New Roman"/>
          <w:bCs/>
          <w:i/>
          <w:iCs/>
          <w:sz w:val="23"/>
          <w:szCs w:val="23"/>
        </w:rPr>
        <w:t>Légumes secs et oléagineux</w:t>
      </w:r>
      <w:r>
        <w:rPr>
          <w:rFonts w:ascii="Times New Roman" w:hAnsi="Times New Roman" w:cs="Times New Roman"/>
          <w:bCs/>
          <w:i/>
          <w:iCs/>
          <w:sz w:val="23"/>
          <w:szCs w:val="23"/>
        </w:rPr>
        <w:t xml:space="preserve"> » </w:t>
      </w:r>
      <w:r w:rsidRPr="00017FDB">
        <w:rPr>
          <w:rFonts w:ascii="Times New Roman" w:hAnsi="Times New Roman" w:cs="Times New Roman"/>
          <w:b/>
          <w:bCs/>
          <w:i/>
          <w:iCs/>
          <w:sz w:val="23"/>
          <w:szCs w:val="23"/>
        </w:rPr>
        <w:t>(+26,8%</w:t>
      </w:r>
      <w:r>
        <w:rPr>
          <w:rFonts w:ascii="Times New Roman" w:hAnsi="Times New Roman" w:cs="Times New Roman"/>
          <w:b/>
          <w:bCs/>
          <w:i/>
          <w:iCs/>
          <w:sz w:val="23"/>
          <w:szCs w:val="23"/>
        </w:rPr>
        <w:t>)</w:t>
      </w:r>
      <w:r w:rsidRPr="00017FDB">
        <w:rPr>
          <w:rFonts w:ascii="Times New Roman" w:hAnsi="Times New Roman" w:cs="Times New Roman"/>
          <w:bCs/>
          <w:iCs/>
          <w:sz w:val="23"/>
          <w:szCs w:val="23"/>
        </w:rPr>
        <w:t>,</w:t>
      </w:r>
      <w:r>
        <w:rPr>
          <w:rFonts w:ascii="Times New Roman" w:hAnsi="Times New Roman" w:cs="Times New Roman"/>
          <w:bCs/>
          <w:iCs/>
          <w:sz w:val="23"/>
          <w:szCs w:val="23"/>
        </w:rPr>
        <w:t xml:space="preserve"> </w:t>
      </w:r>
      <w:r w:rsidRPr="003D3CEE">
        <w:rPr>
          <w:rFonts w:ascii="Times New Roman" w:hAnsi="Times New Roman" w:cs="Times New Roman"/>
          <w:bCs/>
          <w:i/>
          <w:iCs/>
          <w:sz w:val="23"/>
          <w:szCs w:val="23"/>
        </w:rPr>
        <w:t>en raison de la rareté des denrées telles que le haricot et cassoulet sur le marché </w:t>
      </w:r>
      <w:r>
        <w:rPr>
          <w:rFonts w:ascii="Times New Roman" w:hAnsi="Times New Roman" w:cs="Times New Roman"/>
          <w:bCs/>
          <w:i/>
          <w:iCs/>
          <w:sz w:val="23"/>
          <w:szCs w:val="23"/>
        </w:rPr>
        <w:t xml:space="preserve">liée à la saisonnalité </w:t>
      </w:r>
      <w:r w:rsidRPr="003D3CEE">
        <w:rPr>
          <w:rFonts w:ascii="Times New Roman" w:hAnsi="Times New Roman" w:cs="Times New Roman"/>
          <w:bCs/>
          <w:i/>
          <w:iCs/>
          <w:sz w:val="23"/>
          <w:szCs w:val="23"/>
        </w:rPr>
        <w:t>;</w:t>
      </w:r>
    </w:p>
    <w:p w:rsidR="00DA066E" w:rsidRDefault="00DA066E" w:rsidP="00DA066E">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sidR="00017FDB" w:rsidRPr="00017FDB">
        <w:rPr>
          <w:rFonts w:ascii="Times New Roman" w:hAnsi="Times New Roman" w:cs="Times New Roman"/>
          <w:bCs/>
          <w:i/>
          <w:iCs/>
          <w:sz w:val="23"/>
          <w:szCs w:val="23"/>
        </w:rPr>
        <w:t>Légumes frais en fruits ou racine</w:t>
      </w:r>
      <w:r w:rsidR="00017FDB">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 xml:space="preserve">» </w:t>
      </w:r>
      <w:r w:rsidR="00017FDB">
        <w:rPr>
          <w:rFonts w:ascii="Times New Roman" w:hAnsi="Times New Roman" w:cs="Times New Roman"/>
          <w:b/>
          <w:bCs/>
          <w:i/>
          <w:iCs/>
          <w:sz w:val="23"/>
          <w:szCs w:val="23"/>
        </w:rPr>
        <w:t>(+16,8</w:t>
      </w:r>
      <w:r w:rsidRPr="00262D3A">
        <w:rPr>
          <w:rFonts w:ascii="Times New Roman" w:hAnsi="Times New Roman" w:cs="Times New Roman"/>
          <w:b/>
          <w:bCs/>
          <w:i/>
          <w:iCs/>
          <w:sz w:val="23"/>
          <w:szCs w:val="23"/>
        </w:rPr>
        <w:t>%)</w:t>
      </w:r>
      <w:r w:rsidR="00C80FD5">
        <w:rPr>
          <w:rFonts w:ascii="Times New Roman" w:hAnsi="Times New Roman" w:cs="Times New Roman"/>
          <w:bCs/>
          <w:i/>
          <w:iCs/>
          <w:sz w:val="23"/>
          <w:szCs w:val="23"/>
        </w:rPr>
        <w:t xml:space="preserve">, </w:t>
      </w:r>
      <w:r>
        <w:rPr>
          <w:rFonts w:ascii="Times New Roman" w:hAnsi="Times New Roman" w:cs="Times New Roman"/>
          <w:bCs/>
          <w:i/>
          <w:iCs/>
          <w:sz w:val="23"/>
          <w:szCs w:val="23"/>
        </w:rPr>
        <w:t xml:space="preserve">à cause </w:t>
      </w:r>
      <w:r w:rsidR="00017FDB">
        <w:rPr>
          <w:rFonts w:ascii="Times New Roman" w:hAnsi="Times New Roman" w:cs="Times New Roman"/>
          <w:bCs/>
          <w:i/>
          <w:iCs/>
          <w:sz w:val="23"/>
          <w:szCs w:val="23"/>
        </w:rPr>
        <w:t xml:space="preserve">de la rareté de la tomate fraîche locale et des fortes spéculations sur celles importées du Burkina Faso </w:t>
      </w:r>
      <w:r>
        <w:rPr>
          <w:rFonts w:ascii="Times New Roman" w:hAnsi="Times New Roman" w:cs="Times New Roman"/>
          <w:bCs/>
          <w:i/>
          <w:iCs/>
          <w:sz w:val="23"/>
          <w:szCs w:val="23"/>
        </w:rPr>
        <w:t>;</w:t>
      </w:r>
    </w:p>
    <w:p w:rsidR="003D3CEE" w:rsidRDefault="00770D05" w:rsidP="00DA066E">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xml:space="preserve"> </w:t>
      </w:r>
      <w:r w:rsidR="003D3CEE">
        <w:rPr>
          <w:rFonts w:ascii="Times New Roman" w:hAnsi="Times New Roman" w:cs="Times New Roman"/>
          <w:bCs/>
          <w:i/>
          <w:iCs/>
          <w:sz w:val="23"/>
          <w:szCs w:val="23"/>
        </w:rPr>
        <w:t>« </w:t>
      </w:r>
      <w:r w:rsidR="003D3CEE" w:rsidRPr="003D3CEE">
        <w:rPr>
          <w:rFonts w:ascii="Times New Roman" w:hAnsi="Times New Roman" w:cs="Times New Roman"/>
          <w:bCs/>
          <w:i/>
          <w:iCs/>
          <w:sz w:val="23"/>
          <w:szCs w:val="23"/>
        </w:rPr>
        <w:t>Céréales non transformées</w:t>
      </w:r>
      <w:r w:rsidR="003D3CEE">
        <w:rPr>
          <w:rFonts w:ascii="Times New Roman" w:hAnsi="Times New Roman" w:cs="Times New Roman"/>
          <w:bCs/>
          <w:i/>
          <w:iCs/>
          <w:sz w:val="23"/>
          <w:szCs w:val="23"/>
        </w:rPr>
        <w:t xml:space="preserve"> » </w:t>
      </w:r>
      <w:r w:rsidR="003D3CEE" w:rsidRPr="003D3CEE">
        <w:rPr>
          <w:rFonts w:ascii="Times New Roman" w:hAnsi="Times New Roman" w:cs="Times New Roman"/>
          <w:b/>
          <w:bCs/>
          <w:i/>
          <w:iCs/>
          <w:sz w:val="23"/>
          <w:szCs w:val="23"/>
        </w:rPr>
        <w:t>(+4,1%)</w:t>
      </w:r>
      <w:r w:rsidR="003D3CEE" w:rsidRPr="003D3CEE">
        <w:rPr>
          <w:rFonts w:ascii="Times New Roman" w:hAnsi="Times New Roman" w:cs="Times New Roman"/>
          <w:bCs/>
          <w:i/>
          <w:iCs/>
          <w:sz w:val="23"/>
          <w:szCs w:val="23"/>
        </w:rPr>
        <w:t>,</w:t>
      </w:r>
      <w:r w:rsidR="00BF596E">
        <w:rPr>
          <w:rFonts w:ascii="Times New Roman" w:hAnsi="Times New Roman" w:cs="Times New Roman"/>
          <w:bCs/>
          <w:i/>
          <w:iCs/>
          <w:sz w:val="23"/>
          <w:szCs w:val="23"/>
        </w:rPr>
        <w:t xml:space="preserve"> </w:t>
      </w:r>
      <w:r w:rsidR="00332968">
        <w:rPr>
          <w:rFonts w:ascii="Times New Roman" w:hAnsi="Times New Roman" w:cs="Times New Roman"/>
          <w:bCs/>
          <w:i/>
          <w:iCs/>
          <w:sz w:val="23"/>
          <w:szCs w:val="23"/>
        </w:rPr>
        <w:t>liée à l’augmentation</w:t>
      </w:r>
      <w:r w:rsidR="003D3CEE">
        <w:rPr>
          <w:rFonts w:ascii="Times New Roman" w:hAnsi="Times New Roman" w:cs="Times New Roman"/>
          <w:bCs/>
          <w:i/>
          <w:iCs/>
          <w:sz w:val="23"/>
          <w:szCs w:val="23"/>
        </w:rPr>
        <w:t xml:space="preserve"> des prix du maïs séché pour raison de saisonnalité ;</w:t>
      </w:r>
    </w:p>
    <w:p w:rsidR="00770D05" w:rsidRPr="00770D05" w:rsidRDefault="00770D05" w:rsidP="00770D05">
      <w:pPr>
        <w:numPr>
          <w:ilvl w:val="0"/>
          <w:numId w:val="3"/>
        </w:numPr>
        <w:spacing w:line="312" w:lineRule="auto"/>
        <w:ind w:left="567" w:hanging="207"/>
        <w:jc w:val="both"/>
        <w:rPr>
          <w:rFonts w:ascii="Times New Roman" w:hAnsi="Times New Roman" w:cs="Times New Roman"/>
          <w:bCs/>
          <w:i/>
          <w:iCs/>
          <w:sz w:val="23"/>
          <w:szCs w:val="23"/>
        </w:rPr>
      </w:pPr>
      <w:r w:rsidRPr="00262D3A">
        <w:rPr>
          <w:rFonts w:ascii="Times New Roman" w:hAnsi="Times New Roman" w:cs="Times New Roman"/>
          <w:bCs/>
          <w:i/>
          <w:iCs/>
          <w:sz w:val="23"/>
          <w:szCs w:val="23"/>
        </w:rPr>
        <w:t>« </w:t>
      </w:r>
      <w:r w:rsidRPr="00D34197">
        <w:rPr>
          <w:rFonts w:ascii="Times New Roman" w:hAnsi="Times New Roman" w:cs="Times New Roman"/>
          <w:bCs/>
          <w:i/>
          <w:iCs/>
          <w:sz w:val="23"/>
          <w:szCs w:val="23"/>
        </w:rPr>
        <w:t>Poissons frais</w:t>
      </w:r>
      <w:r>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w:t>
      </w:r>
      <w:r>
        <w:rPr>
          <w:rFonts w:ascii="Times New Roman" w:hAnsi="Times New Roman" w:cs="Times New Roman"/>
          <w:b/>
          <w:bCs/>
          <w:i/>
          <w:iCs/>
          <w:sz w:val="23"/>
          <w:szCs w:val="23"/>
        </w:rPr>
        <w:t>(+3,0</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r>
        <w:rPr>
          <w:rFonts w:ascii="Times New Roman" w:hAnsi="Times New Roman" w:cs="Times New Roman"/>
          <w:bCs/>
          <w:i/>
          <w:iCs/>
          <w:sz w:val="23"/>
          <w:szCs w:val="23"/>
        </w:rPr>
        <w:t xml:space="preserve"> </w:t>
      </w:r>
      <w:r w:rsidR="00332968">
        <w:rPr>
          <w:rFonts w:ascii="Times New Roman" w:hAnsi="Times New Roman" w:cs="Times New Roman"/>
          <w:bCs/>
          <w:i/>
          <w:iCs/>
          <w:sz w:val="23"/>
          <w:szCs w:val="23"/>
        </w:rPr>
        <w:t>en lien avec la</w:t>
      </w:r>
      <w:r w:rsidRPr="007D17BA">
        <w:rPr>
          <w:rFonts w:ascii="Times New Roman" w:hAnsi="Times New Roman" w:cs="Times New Roman"/>
          <w:bCs/>
          <w:i/>
          <w:iCs/>
          <w:sz w:val="23"/>
          <w:szCs w:val="23"/>
        </w:rPr>
        <w:t xml:space="preserve"> spéculation sur </w:t>
      </w:r>
      <w:r>
        <w:rPr>
          <w:rFonts w:ascii="Times New Roman" w:hAnsi="Times New Roman" w:cs="Times New Roman"/>
          <w:bCs/>
          <w:i/>
          <w:iCs/>
          <w:sz w:val="23"/>
          <w:szCs w:val="23"/>
        </w:rPr>
        <w:t>le prix du maquereau congelé</w:t>
      </w:r>
      <w:r w:rsidR="00332968">
        <w:rPr>
          <w:rFonts w:ascii="Times New Roman" w:hAnsi="Times New Roman" w:cs="Times New Roman"/>
          <w:bCs/>
          <w:i/>
          <w:iCs/>
          <w:sz w:val="23"/>
          <w:szCs w:val="23"/>
        </w:rPr>
        <w:t>,</w:t>
      </w:r>
      <w:r>
        <w:rPr>
          <w:rFonts w:ascii="Times New Roman" w:hAnsi="Times New Roman" w:cs="Times New Roman"/>
          <w:bCs/>
          <w:i/>
          <w:iCs/>
          <w:sz w:val="23"/>
          <w:szCs w:val="23"/>
        </w:rPr>
        <w:t xml:space="preserve"> suite aux difficultés d’approvisionnement du marché ;</w:t>
      </w:r>
    </w:p>
    <w:p w:rsidR="003671B8" w:rsidRDefault="00332968" w:rsidP="003671B8">
      <w:pPr>
        <w:spacing w:line="312" w:lineRule="auto"/>
        <w:jc w:val="both"/>
        <w:rPr>
          <w:rFonts w:ascii="Times New Roman" w:hAnsi="Times New Roman" w:cs="Times New Roman"/>
          <w:bCs/>
          <w:i/>
          <w:iCs/>
          <w:sz w:val="23"/>
          <w:szCs w:val="23"/>
        </w:rPr>
      </w:pPr>
      <w:r>
        <w:rPr>
          <w:rFonts w:ascii="Times New Roman" w:hAnsi="Times New Roman" w:cs="Times New Roman"/>
          <w:bCs/>
          <w:i/>
          <w:iCs/>
          <w:sz w:val="23"/>
          <w:szCs w:val="23"/>
        </w:rPr>
        <w:t>L’</w:t>
      </w:r>
      <w:r w:rsidR="009B79F4">
        <w:rPr>
          <w:rFonts w:ascii="Times New Roman" w:hAnsi="Times New Roman" w:cs="Times New Roman"/>
          <w:bCs/>
          <w:i/>
          <w:iCs/>
          <w:sz w:val="23"/>
          <w:szCs w:val="23"/>
        </w:rPr>
        <w:t>évolution</w:t>
      </w:r>
      <w:r>
        <w:rPr>
          <w:rFonts w:ascii="Times New Roman" w:hAnsi="Times New Roman" w:cs="Times New Roman"/>
          <w:bCs/>
          <w:i/>
          <w:iCs/>
          <w:sz w:val="23"/>
          <w:szCs w:val="23"/>
        </w:rPr>
        <w:t xml:space="preserve"> observée</w:t>
      </w:r>
      <w:r w:rsidR="00580DCF">
        <w:rPr>
          <w:rFonts w:ascii="Times New Roman" w:hAnsi="Times New Roman" w:cs="Times New Roman"/>
          <w:bCs/>
          <w:i/>
          <w:iCs/>
          <w:sz w:val="23"/>
          <w:szCs w:val="23"/>
        </w:rPr>
        <w:t xml:space="preserve"> sur le mois</w:t>
      </w:r>
      <w:r>
        <w:rPr>
          <w:rFonts w:ascii="Times New Roman" w:hAnsi="Times New Roman" w:cs="Times New Roman"/>
          <w:bCs/>
          <w:i/>
          <w:iCs/>
          <w:sz w:val="23"/>
          <w:szCs w:val="23"/>
        </w:rPr>
        <w:t xml:space="preserve"> a été modérée par le repli</w:t>
      </w:r>
      <w:r w:rsidR="003D3CEE">
        <w:rPr>
          <w:rFonts w:ascii="Times New Roman" w:hAnsi="Times New Roman" w:cs="Times New Roman"/>
          <w:bCs/>
          <w:i/>
          <w:iCs/>
          <w:sz w:val="23"/>
          <w:szCs w:val="23"/>
        </w:rPr>
        <w:t xml:space="preserve"> </w:t>
      </w:r>
      <w:r w:rsidR="0034156F">
        <w:rPr>
          <w:rFonts w:ascii="Times New Roman" w:hAnsi="Times New Roman" w:cs="Times New Roman"/>
          <w:bCs/>
          <w:i/>
          <w:iCs/>
          <w:sz w:val="23"/>
          <w:szCs w:val="23"/>
        </w:rPr>
        <w:t>des prix des</w:t>
      </w:r>
      <w:r w:rsidR="009A47B7">
        <w:rPr>
          <w:rFonts w:ascii="Times New Roman" w:hAnsi="Times New Roman" w:cs="Times New Roman"/>
          <w:bCs/>
          <w:i/>
          <w:iCs/>
          <w:sz w:val="23"/>
          <w:szCs w:val="23"/>
        </w:rPr>
        <w:t xml:space="preserve"> groupe</w:t>
      </w:r>
      <w:r w:rsidR="0034156F">
        <w:rPr>
          <w:rFonts w:ascii="Times New Roman" w:hAnsi="Times New Roman" w:cs="Times New Roman"/>
          <w:bCs/>
          <w:i/>
          <w:iCs/>
          <w:sz w:val="23"/>
          <w:szCs w:val="23"/>
        </w:rPr>
        <w:t>s</w:t>
      </w:r>
      <w:r w:rsidR="003671B8" w:rsidRPr="00262D3A">
        <w:rPr>
          <w:rFonts w:ascii="Times New Roman" w:hAnsi="Times New Roman" w:cs="Times New Roman"/>
          <w:bCs/>
          <w:i/>
          <w:iCs/>
          <w:sz w:val="23"/>
          <w:szCs w:val="23"/>
        </w:rPr>
        <w:t xml:space="preserve"> de produits : </w:t>
      </w:r>
    </w:p>
    <w:p w:rsidR="00BF596E" w:rsidRDefault="00BF596E" w:rsidP="0034156F">
      <w:pPr>
        <w:numPr>
          <w:ilvl w:val="0"/>
          <w:numId w:val="3"/>
        </w:numPr>
        <w:spacing w:line="312" w:lineRule="auto"/>
        <w:ind w:left="567" w:hanging="207"/>
        <w:jc w:val="both"/>
        <w:rPr>
          <w:rFonts w:ascii="Times New Roman" w:hAnsi="Times New Roman" w:cs="Times New Roman"/>
          <w:bCs/>
          <w:i/>
          <w:iCs/>
          <w:sz w:val="23"/>
          <w:szCs w:val="23"/>
        </w:rPr>
      </w:pPr>
      <w:r>
        <w:rPr>
          <w:rFonts w:ascii="Times New Roman" w:hAnsi="Times New Roman" w:cs="Times New Roman"/>
          <w:bCs/>
          <w:i/>
          <w:iCs/>
          <w:sz w:val="23"/>
          <w:szCs w:val="23"/>
        </w:rPr>
        <w:t xml:space="preserve">« Combustibles solides » </w:t>
      </w:r>
      <w:r>
        <w:rPr>
          <w:rFonts w:ascii="Times New Roman" w:hAnsi="Times New Roman" w:cs="Times New Roman"/>
          <w:b/>
          <w:bCs/>
          <w:i/>
          <w:iCs/>
          <w:sz w:val="23"/>
          <w:szCs w:val="23"/>
        </w:rPr>
        <w:t>(-2,0%)</w:t>
      </w:r>
      <w:r>
        <w:rPr>
          <w:rFonts w:ascii="Times New Roman" w:hAnsi="Times New Roman" w:cs="Times New Roman"/>
          <w:bCs/>
          <w:i/>
          <w:iCs/>
          <w:sz w:val="23"/>
          <w:szCs w:val="23"/>
        </w:rPr>
        <w:t xml:space="preserve">, </w:t>
      </w:r>
      <w:r w:rsidR="00332968">
        <w:rPr>
          <w:rFonts w:ascii="Times New Roman" w:hAnsi="Times New Roman" w:cs="Times New Roman"/>
          <w:bCs/>
          <w:i/>
          <w:iCs/>
          <w:sz w:val="23"/>
          <w:szCs w:val="23"/>
        </w:rPr>
        <w:t>en raison de</w:t>
      </w:r>
      <w:r>
        <w:rPr>
          <w:rFonts w:ascii="Times New Roman" w:hAnsi="Times New Roman" w:cs="Times New Roman"/>
          <w:bCs/>
          <w:i/>
          <w:iCs/>
          <w:sz w:val="23"/>
          <w:szCs w:val="23"/>
        </w:rPr>
        <w:t xml:space="preserve"> l’approvisionnement</w:t>
      </w:r>
      <w:r w:rsidR="00332968">
        <w:rPr>
          <w:rFonts w:ascii="Times New Roman" w:hAnsi="Times New Roman" w:cs="Times New Roman"/>
          <w:bCs/>
          <w:i/>
          <w:iCs/>
          <w:sz w:val="23"/>
          <w:szCs w:val="23"/>
        </w:rPr>
        <w:t xml:space="preserve"> suffisant</w:t>
      </w:r>
      <w:r>
        <w:rPr>
          <w:rFonts w:ascii="Times New Roman" w:hAnsi="Times New Roman" w:cs="Times New Roman"/>
          <w:bCs/>
          <w:i/>
          <w:iCs/>
          <w:sz w:val="23"/>
          <w:szCs w:val="23"/>
        </w:rPr>
        <w:t xml:space="preserve"> du marché en bois de chauffe et charbon de bois en cette période de saison sèche.</w:t>
      </w: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IHPC en glissement annuel</w:t>
      </w:r>
    </w:p>
    <w:p w:rsidR="00262D3A"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Par rapport à </w:t>
      </w:r>
      <w:r w:rsidR="00770D05">
        <w:rPr>
          <w:rFonts w:ascii="Times New Roman" w:hAnsi="Times New Roman" w:cs="Times New Roman"/>
          <w:bCs/>
          <w:i/>
          <w:iCs/>
          <w:sz w:val="23"/>
          <w:szCs w:val="23"/>
        </w:rPr>
        <w:t>mars</w:t>
      </w:r>
      <w:r w:rsidR="009A47B7">
        <w:rPr>
          <w:rFonts w:ascii="Times New Roman" w:hAnsi="Times New Roman" w:cs="Times New Roman"/>
          <w:bCs/>
          <w:i/>
          <w:iCs/>
          <w:sz w:val="23"/>
          <w:szCs w:val="23"/>
        </w:rPr>
        <w:t xml:space="preserve"> 2020</w:t>
      </w:r>
      <w:r w:rsidRPr="00262D3A">
        <w:rPr>
          <w:rFonts w:ascii="Times New Roman" w:hAnsi="Times New Roman" w:cs="Times New Roman"/>
          <w:bCs/>
          <w:i/>
          <w:iCs/>
          <w:sz w:val="23"/>
          <w:szCs w:val="23"/>
        </w:rPr>
        <w:t xml:space="preserve">, la variation de l’IHPC est de </w:t>
      </w:r>
      <w:r w:rsidR="0034156F">
        <w:rPr>
          <w:rFonts w:ascii="Times New Roman" w:hAnsi="Times New Roman" w:cs="Times New Roman"/>
          <w:b/>
          <w:bCs/>
          <w:i/>
          <w:iCs/>
          <w:sz w:val="23"/>
          <w:szCs w:val="23"/>
        </w:rPr>
        <w:t>-0,5</w:t>
      </w:r>
      <w:r w:rsidRPr="00262D3A">
        <w:rPr>
          <w:rFonts w:ascii="Times New Roman" w:hAnsi="Times New Roman" w:cs="Times New Roman"/>
          <w:b/>
          <w:bCs/>
          <w:i/>
          <w:iCs/>
          <w:sz w:val="23"/>
          <w:szCs w:val="23"/>
        </w:rPr>
        <w:t>%</w:t>
      </w:r>
      <w:r w:rsidRPr="00E61568">
        <w:rPr>
          <w:rFonts w:ascii="Times New Roman" w:hAnsi="Times New Roman" w:cs="Times New Roman"/>
          <w:bCs/>
          <w:i/>
          <w:iCs/>
          <w:sz w:val="23"/>
          <w:szCs w:val="23"/>
        </w:rPr>
        <w:t>,</w:t>
      </w:r>
      <w:r w:rsidRPr="00262D3A">
        <w:rPr>
          <w:rFonts w:ascii="Times New Roman" w:hAnsi="Times New Roman" w:cs="Times New Roman"/>
          <w:bCs/>
          <w:i/>
          <w:iCs/>
          <w:sz w:val="23"/>
          <w:szCs w:val="23"/>
        </w:rPr>
        <w:t xml:space="preserve"> contre </w:t>
      </w:r>
      <w:r w:rsidR="00F95652">
        <w:rPr>
          <w:rFonts w:ascii="Times New Roman" w:hAnsi="Times New Roman" w:cs="Times New Roman"/>
          <w:b/>
          <w:bCs/>
          <w:i/>
          <w:iCs/>
          <w:sz w:val="23"/>
          <w:szCs w:val="23"/>
        </w:rPr>
        <w:t>-1,1</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w:t>
      </w:r>
      <w:r w:rsidR="00332968">
        <w:rPr>
          <w:rFonts w:ascii="Times New Roman" w:hAnsi="Times New Roman" w:cs="Times New Roman"/>
          <w:bCs/>
          <w:i/>
          <w:iCs/>
          <w:sz w:val="23"/>
          <w:szCs w:val="23"/>
        </w:rPr>
        <w:t>un mois plus tôt.</w:t>
      </w:r>
    </w:p>
    <w:p w:rsidR="003671B8" w:rsidRPr="00262D3A" w:rsidRDefault="003671B8" w:rsidP="003671B8">
      <w:pPr>
        <w:spacing w:line="312" w:lineRule="auto"/>
        <w:jc w:val="both"/>
        <w:rPr>
          <w:rFonts w:ascii="Times New Roman" w:hAnsi="Times New Roman" w:cs="Times New Roman"/>
          <w:bCs/>
          <w:i/>
          <w:iCs/>
          <w:sz w:val="6"/>
          <w:szCs w:val="6"/>
        </w:rPr>
      </w:pPr>
    </w:p>
    <w:p w:rsidR="003671B8" w:rsidRPr="00262D3A" w:rsidRDefault="003671B8" w:rsidP="003671B8">
      <w:pPr>
        <w:spacing w:line="312" w:lineRule="auto"/>
        <w:jc w:val="both"/>
        <w:rPr>
          <w:rFonts w:ascii="Times New Roman" w:hAnsi="Times New Roman" w:cs="Times New Roman"/>
          <w:b/>
          <w:bCs/>
          <w:i/>
          <w:iCs/>
          <w:sz w:val="23"/>
          <w:szCs w:val="23"/>
        </w:rPr>
      </w:pPr>
      <w:r w:rsidRPr="00262D3A">
        <w:rPr>
          <w:rFonts w:ascii="Times New Roman" w:hAnsi="Times New Roman" w:cs="Times New Roman"/>
          <w:b/>
          <w:bCs/>
          <w:i/>
          <w:iCs/>
          <w:sz w:val="23"/>
          <w:szCs w:val="23"/>
        </w:rPr>
        <w:t xml:space="preserve">IHPC suivant la nature et l’origine du produit </w:t>
      </w: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Par r</w:t>
      </w:r>
      <w:r w:rsidR="00955E41">
        <w:rPr>
          <w:rFonts w:ascii="Times New Roman" w:hAnsi="Times New Roman" w:cs="Times New Roman"/>
          <w:bCs/>
          <w:i/>
          <w:iCs/>
          <w:sz w:val="23"/>
          <w:szCs w:val="23"/>
        </w:rPr>
        <w:t xml:space="preserve">apport à la nature des produits </w:t>
      </w:r>
      <w:r w:rsidRPr="00262D3A">
        <w:rPr>
          <w:rFonts w:ascii="Times New Roman" w:hAnsi="Times New Roman" w:cs="Times New Roman"/>
          <w:bCs/>
          <w:i/>
          <w:iCs/>
          <w:sz w:val="23"/>
          <w:szCs w:val="23"/>
        </w:rPr>
        <w:t>:</w:t>
      </w:r>
    </w:p>
    <w:p w:rsidR="003671B8" w:rsidRPr="00262D3A" w:rsidRDefault="003671B8" w:rsidP="003671B8">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w:t>
      </w:r>
      <w:r w:rsidR="00F95652">
        <w:rPr>
          <w:rFonts w:ascii="Times New Roman" w:hAnsi="Times New Roman" w:cs="Times New Roman"/>
          <w:bCs/>
          <w:i/>
          <w:iCs/>
          <w:sz w:val="23"/>
          <w:szCs w:val="23"/>
        </w:rPr>
        <w:t xml:space="preserve"> « produits frais »</w:t>
      </w:r>
      <w:r w:rsidR="00F95652" w:rsidRPr="00262D3A">
        <w:rPr>
          <w:rFonts w:ascii="Times New Roman" w:hAnsi="Times New Roman" w:cs="Times New Roman"/>
          <w:bCs/>
          <w:i/>
          <w:iCs/>
          <w:sz w:val="23"/>
          <w:szCs w:val="23"/>
        </w:rPr>
        <w:t xml:space="preserve"> </w:t>
      </w:r>
      <w:r w:rsidR="00F95652">
        <w:rPr>
          <w:rFonts w:ascii="Times New Roman" w:hAnsi="Times New Roman" w:cs="Times New Roman"/>
          <w:bCs/>
          <w:i/>
          <w:iCs/>
          <w:sz w:val="23"/>
          <w:szCs w:val="23"/>
        </w:rPr>
        <w:t xml:space="preserve">et des </w:t>
      </w:r>
      <w:r w:rsidR="00F95652" w:rsidRPr="00262D3A">
        <w:rPr>
          <w:rFonts w:ascii="Times New Roman" w:hAnsi="Times New Roman" w:cs="Times New Roman"/>
          <w:bCs/>
          <w:i/>
          <w:iCs/>
          <w:sz w:val="23"/>
          <w:szCs w:val="23"/>
        </w:rPr>
        <w:t xml:space="preserve">« hors produits frais et hors énergie » </w:t>
      </w:r>
      <w:r w:rsidR="00F95652">
        <w:rPr>
          <w:rFonts w:ascii="Times New Roman" w:hAnsi="Times New Roman" w:cs="Times New Roman"/>
          <w:bCs/>
          <w:i/>
          <w:iCs/>
          <w:sz w:val="23"/>
          <w:szCs w:val="23"/>
        </w:rPr>
        <w:t xml:space="preserve">ont cru respectivement de </w:t>
      </w:r>
      <w:r w:rsidR="00F95652" w:rsidRPr="00F95652">
        <w:rPr>
          <w:rFonts w:ascii="Times New Roman" w:hAnsi="Times New Roman" w:cs="Times New Roman"/>
          <w:b/>
          <w:bCs/>
          <w:i/>
          <w:iCs/>
          <w:sz w:val="23"/>
          <w:szCs w:val="23"/>
        </w:rPr>
        <w:t>3,7%</w:t>
      </w:r>
      <w:r w:rsidR="00F95652">
        <w:rPr>
          <w:rFonts w:ascii="Times New Roman" w:hAnsi="Times New Roman" w:cs="Times New Roman"/>
          <w:bCs/>
          <w:i/>
          <w:iCs/>
          <w:sz w:val="23"/>
          <w:szCs w:val="23"/>
        </w:rPr>
        <w:t xml:space="preserve"> et de </w:t>
      </w:r>
      <w:r w:rsidR="00F95652" w:rsidRPr="00F95652">
        <w:rPr>
          <w:rFonts w:ascii="Times New Roman" w:hAnsi="Times New Roman" w:cs="Times New Roman"/>
          <w:b/>
          <w:bCs/>
          <w:i/>
          <w:iCs/>
          <w:sz w:val="23"/>
          <w:szCs w:val="23"/>
        </w:rPr>
        <w:t>0,1%</w:t>
      </w:r>
      <w:r w:rsidR="00332968" w:rsidRPr="00332968">
        <w:rPr>
          <w:rFonts w:ascii="Times New Roman" w:hAnsi="Times New Roman" w:cs="Times New Roman"/>
          <w:bCs/>
          <w:i/>
          <w:iCs/>
          <w:sz w:val="23"/>
          <w:szCs w:val="23"/>
        </w:rPr>
        <w:t>,</w:t>
      </w:r>
      <w:r w:rsidR="00F95652">
        <w:rPr>
          <w:rFonts w:ascii="Times New Roman" w:hAnsi="Times New Roman" w:cs="Times New Roman"/>
          <w:bCs/>
          <w:i/>
          <w:iCs/>
          <w:sz w:val="23"/>
          <w:szCs w:val="23"/>
        </w:rPr>
        <w:t xml:space="preserve"> alors que ceux des </w:t>
      </w:r>
      <w:r w:rsidR="009615E2" w:rsidRPr="00262D3A">
        <w:rPr>
          <w:rFonts w:ascii="Times New Roman" w:hAnsi="Times New Roman" w:cs="Times New Roman"/>
          <w:bCs/>
          <w:i/>
          <w:iCs/>
          <w:sz w:val="23"/>
          <w:szCs w:val="23"/>
        </w:rPr>
        <w:t>« produits énergétiques »</w:t>
      </w:r>
      <w:r w:rsidR="00F95652">
        <w:rPr>
          <w:rFonts w:ascii="Times New Roman" w:hAnsi="Times New Roman" w:cs="Times New Roman"/>
          <w:bCs/>
          <w:i/>
          <w:iCs/>
          <w:sz w:val="23"/>
          <w:szCs w:val="23"/>
        </w:rPr>
        <w:t xml:space="preserve"> </w:t>
      </w:r>
      <w:r w:rsidR="00955E41" w:rsidRPr="00262D3A">
        <w:rPr>
          <w:rFonts w:ascii="Times New Roman" w:hAnsi="Times New Roman" w:cs="Times New Roman"/>
          <w:bCs/>
          <w:i/>
          <w:iCs/>
          <w:sz w:val="23"/>
          <w:szCs w:val="23"/>
        </w:rPr>
        <w:t xml:space="preserve">ont </w:t>
      </w:r>
      <w:r w:rsidR="00F95652">
        <w:rPr>
          <w:rFonts w:ascii="Times New Roman" w:hAnsi="Times New Roman" w:cs="Times New Roman"/>
          <w:bCs/>
          <w:i/>
          <w:iCs/>
          <w:sz w:val="23"/>
          <w:szCs w:val="23"/>
        </w:rPr>
        <w:t xml:space="preserve">baissé </w:t>
      </w:r>
      <w:r w:rsidR="00955E41">
        <w:rPr>
          <w:rFonts w:ascii="Times New Roman" w:hAnsi="Times New Roman" w:cs="Times New Roman"/>
          <w:bCs/>
          <w:i/>
          <w:iCs/>
          <w:sz w:val="23"/>
          <w:szCs w:val="23"/>
        </w:rPr>
        <w:t xml:space="preserve">de </w:t>
      </w:r>
      <w:r w:rsidR="00F95652">
        <w:rPr>
          <w:rFonts w:ascii="Times New Roman" w:hAnsi="Times New Roman" w:cs="Times New Roman"/>
          <w:b/>
          <w:bCs/>
          <w:i/>
          <w:iCs/>
          <w:sz w:val="23"/>
          <w:szCs w:val="23"/>
        </w:rPr>
        <w:t>0,1</w:t>
      </w:r>
      <w:r w:rsidR="00955E41" w:rsidRPr="00955E41">
        <w:rPr>
          <w:rFonts w:ascii="Times New Roman" w:hAnsi="Times New Roman" w:cs="Times New Roman"/>
          <w:b/>
          <w:bCs/>
          <w:i/>
          <w:iCs/>
          <w:sz w:val="23"/>
          <w:szCs w:val="23"/>
        </w:rPr>
        <w:t>%</w:t>
      </w:r>
      <w:r w:rsidR="00955E41">
        <w:rPr>
          <w:rFonts w:ascii="Times New Roman" w:hAnsi="Times New Roman" w:cs="Times New Roman"/>
          <w:bCs/>
          <w:i/>
          <w:iCs/>
          <w:sz w:val="23"/>
          <w:szCs w:val="23"/>
        </w:rPr>
        <w:t xml:space="preserve"> </w:t>
      </w:r>
      <w:r w:rsidRPr="00262D3A">
        <w:rPr>
          <w:rFonts w:ascii="Times New Roman" w:hAnsi="Times New Roman" w:cs="Times New Roman"/>
          <w:bCs/>
          <w:i/>
          <w:iCs/>
          <w:sz w:val="23"/>
          <w:szCs w:val="23"/>
        </w:rPr>
        <w:t>;</w:t>
      </w:r>
    </w:p>
    <w:p w:rsidR="00DC45BA" w:rsidRDefault="003671B8" w:rsidP="00DC45BA">
      <w:pPr>
        <w:numPr>
          <w:ilvl w:val="0"/>
          <w:numId w:val="7"/>
        </w:num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w:t>
      </w:r>
      <w:r w:rsidR="009615E2" w:rsidRPr="00262D3A">
        <w:rPr>
          <w:rFonts w:ascii="Times New Roman" w:hAnsi="Times New Roman" w:cs="Times New Roman"/>
          <w:bCs/>
          <w:i/>
          <w:iCs/>
          <w:sz w:val="23"/>
          <w:szCs w:val="23"/>
        </w:rPr>
        <w:t>les prix des</w:t>
      </w:r>
      <w:r w:rsidR="006F2DDD">
        <w:rPr>
          <w:rFonts w:ascii="Times New Roman" w:hAnsi="Times New Roman" w:cs="Times New Roman"/>
          <w:bCs/>
          <w:i/>
          <w:iCs/>
          <w:sz w:val="23"/>
          <w:szCs w:val="23"/>
        </w:rPr>
        <w:t xml:space="preserve"> « produits frais »</w:t>
      </w:r>
      <w:r w:rsidR="009A2E9F">
        <w:rPr>
          <w:rFonts w:ascii="Times New Roman" w:hAnsi="Times New Roman" w:cs="Times New Roman"/>
          <w:bCs/>
          <w:i/>
          <w:iCs/>
          <w:sz w:val="23"/>
          <w:szCs w:val="23"/>
        </w:rPr>
        <w:t xml:space="preserve"> </w:t>
      </w:r>
      <w:r w:rsidR="006F2DDD">
        <w:rPr>
          <w:rFonts w:ascii="Times New Roman" w:hAnsi="Times New Roman" w:cs="Times New Roman"/>
          <w:bCs/>
          <w:i/>
          <w:iCs/>
          <w:sz w:val="23"/>
          <w:szCs w:val="23"/>
        </w:rPr>
        <w:t xml:space="preserve">et </w:t>
      </w:r>
      <w:r w:rsidR="00F35A3C">
        <w:rPr>
          <w:rFonts w:ascii="Times New Roman" w:hAnsi="Times New Roman" w:cs="Times New Roman"/>
          <w:bCs/>
          <w:i/>
          <w:iCs/>
          <w:sz w:val="23"/>
          <w:szCs w:val="23"/>
        </w:rPr>
        <w:t xml:space="preserve">« produits énergétiques » </w:t>
      </w:r>
      <w:r w:rsidR="009615E2" w:rsidRPr="00262D3A">
        <w:rPr>
          <w:rFonts w:ascii="Times New Roman" w:hAnsi="Times New Roman" w:cs="Times New Roman"/>
          <w:bCs/>
          <w:i/>
          <w:iCs/>
          <w:sz w:val="23"/>
          <w:szCs w:val="23"/>
        </w:rPr>
        <w:t xml:space="preserve">ont </w:t>
      </w:r>
      <w:r w:rsidR="009615E2">
        <w:rPr>
          <w:rFonts w:ascii="Times New Roman" w:hAnsi="Times New Roman" w:cs="Times New Roman"/>
          <w:bCs/>
          <w:i/>
          <w:iCs/>
          <w:sz w:val="23"/>
          <w:szCs w:val="23"/>
        </w:rPr>
        <w:t>diminué</w:t>
      </w:r>
      <w:r w:rsidR="009A2E9F">
        <w:rPr>
          <w:rFonts w:ascii="Times New Roman" w:hAnsi="Times New Roman" w:cs="Times New Roman"/>
          <w:bCs/>
          <w:i/>
          <w:iCs/>
          <w:sz w:val="23"/>
          <w:szCs w:val="23"/>
        </w:rPr>
        <w:t xml:space="preserve"> </w:t>
      </w:r>
      <w:r w:rsidR="006F2DDD">
        <w:rPr>
          <w:rFonts w:ascii="Times New Roman" w:hAnsi="Times New Roman" w:cs="Times New Roman"/>
          <w:bCs/>
          <w:i/>
          <w:iCs/>
          <w:sz w:val="23"/>
          <w:szCs w:val="23"/>
        </w:rPr>
        <w:t xml:space="preserve">respectivement </w:t>
      </w:r>
      <w:r w:rsidR="009615E2" w:rsidRPr="00262D3A">
        <w:rPr>
          <w:rFonts w:ascii="Times New Roman" w:hAnsi="Times New Roman" w:cs="Times New Roman"/>
          <w:bCs/>
          <w:i/>
          <w:iCs/>
          <w:sz w:val="23"/>
          <w:szCs w:val="23"/>
        </w:rPr>
        <w:t xml:space="preserve">de </w:t>
      </w:r>
      <w:r w:rsidR="009A2E9F">
        <w:rPr>
          <w:rFonts w:ascii="Times New Roman" w:hAnsi="Times New Roman" w:cs="Times New Roman"/>
          <w:b/>
          <w:bCs/>
          <w:i/>
          <w:iCs/>
          <w:sz w:val="23"/>
          <w:szCs w:val="23"/>
        </w:rPr>
        <w:t>1,0</w:t>
      </w:r>
      <w:r w:rsidR="009615E2" w:rsidRPr="00262D3A">
        <w:rPr>
          <w:rFonts w:ascii="Times New Roman" w:hAnsi="Times New Roman" w:cs="Times New Roman"/>
          <w:b/>
          <w:bCs/>
          <w:i/>
          <w:iCs/>
          <w:sz w:val="23"/>
          <w:szCs w:val="23"/>
        </w:rPr>
        <w:t>%</w:t>
      </w:r>
      <w:r w:rsidR="009A2E9F">
        <w:rPr>
          <w:rFonts w:ascii="Times New Roman" w:hAnsi="Times New Roman" w:cs="Times New Roman"/>
          <w:b/>
          <w:bCs/>
          <w:i/>
          <w:iCs/>
          <w:sz w:val="23"/>
          <w:szCs w:val="23"/>
        </w:rPr>
        <w:t xml:space="preserve"> </w:t>
      </w:r>
      <w:r w:rsidR="006F2DDD" w:rsidRPr="006F2DDD">
        <w:rPr>
          <w:rFonts w:ascii="Times New Roman" w:hAnsi="Times New Roman" w:cs="Times New Roman"/>
          <w:bCs/>
          <w:i/>
          <w:iCs/>
          <w:sz w:val="23"/>
          <w:szCs w:val="23"/>
        </w:rPr>
        <w:t>et de</w:t>
      </w:r>
      <w:r w:rsidR="009A2E9F">
        <w:rPr>
          <w:rFonts w:ascii="Times New Roman" w:hAnsi="Times New Roman" w:cs="Times New Roman"/>
          <w:b/>
          <w:bCs/>
          <w:i/>
          <w:iCs/>
          <w:sz w:val="23"/>
          <w:szCs w:val="23"/>
        </w:rPr>
        <w:t xml:space="preserve"> 8,8</w:t>
      </w:r>
      <w:r w:rsidR="00332968">
        <w:rPr>
          <w:rFonts w:ascii="Times New Roman" w:hAnsi="Times New Roman" w:cs="Times New Roman"/>
          <w:b/>
          <w:bCs/>
          <w:i/>
          <w:iCs/>
          <w:sz w:val="23"/>
          <w:szCs w:val="23"/>
        </w:rPr>
        <w:t>%</w:t>
      </w:r>
      <w:r w:rsidR="00332968" w:rsidRPr="00332968">
        <w:rPr>
          <w:rFonts w:ascii="Times New Roman" w:hAnsi="Times New Roman" w:cs="Times New Roman"/>
          <w:bCs/>
          <w:i/>
          <w:iCs/>
          <w:sz w:val="23"/>
          <w:szCs w:val="23"/>
        </w:rPr>
        <w:t>,</w:t>
      </w:r>
      <w:r w:rsidR="009615E2" w:rsidRPr="00262D3A">
        <w:rPr>
          <w:rFonts w:ascii="Times New Roman" w:hAnsi="Times New Roman" w:cs="Times New Roman"/>
          <w:bCs/>
          <w:i/>
          <w:iCs/>
          <w:sz w:val="23"/>
          <w:szCs w:val="23"/>
        </w:rPr>
        <w:t xml:space="preserve"> alors que ceux des</w:t>
      </w:r>
      <w:r w:rsidR="009615E2">
        <w:rPr>
          <w:rFonts w:ascii="Times New Roman" w:hAnsi="Times New Roman" w:cs="Times New Roman"/>
          <w:bCs/>
          <w:i/>
          <w:iCs/>
          <w:sz w:val="23"/>
          <w:szCs w:val="23"/>
        </w:rPr>
        <w:t xml:space="preserve"> «</w:t>
      </w:r>
      <w:r w:rsidR="009A2E9F">
        <w:rPr>
          <w:rFonts w:ascii="Times New Roman" w:hAnsi="Times New Roman" w:cs="Times New Roman"/>
          <w:bCs/>
          <w:i/>
          <w:iCs/>
          <w:sz w:val="23"/>
          <w:szCs w:val="23"/>
        </w:rPr>
        <w:t xml:space="preserve"> </w:t>
      </w:r>
      <w:r w:rsidR="00B00AB2" w:rsidRPr="00262D3A">
        <w:rPr>
          <w:rFonts w:ascii="Times New Roman" w:hAnsi="Times New Roman" w:cs="Times New Roman"/>
          <w:bCs/>
          <w:i/>
          <w:iCs/>
          <w:sz w:val="23"/>
          <w:szCs w:val="23"/>
        </w:rPr>
        <w:t>hors produits frais et hors énergie </w:t>
      </w:r>
      <w:r w:rsidR="009615E2">
        <w:rPr>
          <w:rFonts w:ascii="Times New Roman" w:hAnsi="Times New Roman" w:cs="Times New Roman"/>
          <w:bCs/>
          <w:i/>
          <w:iCs/>
          <w:sz w:val="23"/>
          <w:szCs w:val="23"/>
        </w:rPr>
        <w:t xml:space="preserve">» </w:t>
      </w:r>
      <w:r w:rsidR="009615E2" w:rsidRPr="00262D3A">
        <w:rPr>
          <w:rFonts w:ascii="Times New Roman" w:hAnsi="Times New Roman" w:cs="Times New Roman"/>
          <w:bCs/>
          <w:i/>
          <w:iCs/>
          <w:sz w:val="23"/>
          <w:szCs w:val="23"/>
        </w:rPr>
        <w:t xml:space="preserve">ont </w:t>
      </w:r>
      <w:r w:rsidR="009615E2">
        <w:rPr>
          <w:rFonts w:ascii="Times New Roman" w:hAnsi="Times New Roman" w:cs="Times New Roman"/>
          <w:bCs/>
          <w:i/>
          <w:iCs/>
          <w:sz w:val="23"/>
          <w:szCs w:val="23"/>
        </w:rPr>
        <w:t>augmenté</w:t>
      </w:r>
      <w:r w:rsidR="009615E2" w:rsidRPr="00262D3A">
        <w:rPr>
          <w:rFonts w:ascii="Times New Roman" w:hAnsi="Times New Roman" w:cs="Times New Roman"/>
          <w:bCs/>
          <w:i/>
          <w:iCs/>
          <w:sz w:val="23"/>
          <w:szCs w:val="23"/>
        </w:rPr>
        <w:t xml:space="preserve"> de </w:t>
      </w:r>
      <w:r w:rsidR="009A2E9F">
        <w:rPr>
          <w:rFonts w:ascii="Times New Roman" w:hAnsi="Times New Roman" w:cs="Times New Roman"/>
          <w:b/>
          <w:bCs/>
          <w:i/>
          <w:iCs/>
          <w:sz w:val="23"/>
          <w:szCs w:val="23"/>
        </w:rPr>
        <w:t>0,7</w:t>
      </w:r>
      <w:r w:rsidR="009615E2" w:rsidRPr="00262D3A">
        <w:rPr>
          <w:rFonts w:ascii="Times New Roman" w:hAnsi="Times New Roman" w:cs="Times New Roman"/>
          <w:b/>
          <w:bCs/>
          <w:i/>
          <w:iCs/>
          <w:sz w:val="23"/>
          <w:szCs w:val="23"/>
        </w:rPr>
        <w:t xml:space="preserve">% </w:t>
      </w:r>
      <w:r w:rsidR="009615E2" w:rsidRPr="00262D3A">
        <w:rPr>
          <w:rFonts w:ascii="Times New Roman" w:hAnsi="Times New Roman" w:cs="Times New Roman"/>
          <w:bCs/>
          <w:i/>
          <w:iCs/>
          <w:sz w:val="23"/>
          <w:szCs w:val="23"/>
        </w:rPr>
        <w:t>;</w:t>
      </w:r>
    </w:p>
    <w:p w:rsidR="00DC45BA" w:rsidRDefault="00DC45BA" w:rsidP="00DC45BA">
      <w:pPr>
        <w:spacing w:line="312" w:lineRule="auto"/>
        <w:jc w:val="both"/>
        <w:rPr>
          <w:rFonts w:ascii="Times New Roman" w:hAnsi="Times New Roman" w:cs="Times New Roman"/>
          <w:bCs/>
          <w:i/>
          <w:iCs/>
          <w:sz w:val="23"/>
          <w:szCs w:val="23"/>
        </w:rPr>
      </w:pPr>
    </w:p>
    <w:p w:rsidR="00DC45BA" w:rsidRPr="00DC45BA" w:rsidRDefault="00DC45BA" w:rsidP="00DC45BA">
      <w:pPr>
        <w:spacing w:line="312" w:lineRule="auto"/>
        <w:jc w:val="both"/>
        <w:rPr>
          <w:rFonts w:ascii="Times New Roman" w:hAnsi="Times New Roman" w:cs="Times New Roman"/>
          <w:bCs/>
          <w:i/>
          <w:iCs/>
          <w:sz w:val="23"/>
          <w:szCs w:val="23"/>
        </w:rPr>
      </w:pPr>
    </w:p>
    <w:p w:rsidR="003671B8" w:rsidRPr="00262D3A" w:rsidRDefault="003671B8" w:rsidP="003671B8">
      <w:pPr>
        <w:spacing w:line="312" w:lineRule="auto"/>
        <w:jc w:val="both"/>
        <w:rPr>
          <w:rFonts w:ascii="Times New Roman" w:hAnsi="Times New Roman" w:cs="Times New Roman"/>
          <w:bCs/>
          <w:i/>
          <w:iCs/>
          <w:sz w:val="23"/>
          <w:szCs w:val="23"/>
        </w:rPr>
      </w:pPr>
      <w:r w:rsidRPr="00262D3A">
        <w:rPr>
          <w:rFonts w:ascii="Times New Roman" w:hAnsi="Times New Roman" w:cs="Times New Roman"/>
          <w:bCs/>
          <w:i/>
          <w:iCs/>
          <w:sz w:val="23"/>
          <w:szCs w:val="23"/>
        </w:rPr>
        <w:t>Sur la base de l’origine des produits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en variation mensuelle, les prix  des « produits importés »</w:t>
      </w:r>
      <w:r w:rsidR="000C45BD">
        <w:rPr>
          <w:rFonts w:ascii="Times New Roman" w:hAnsi="Times New Roman" w:cs="Times New Roman"/>
          <w:bCs/>
          <w:i/>
          <w:iCs/>
          <w:sz w:val="23"/>
          <w:szCs w:val="23"/>
        </w:rPr>
        <w:t xml:space="preserve"> de même que ceux </w:t>
      </w:r>
      <w:r w:rsidR="000C45BD">
        <w:rPr>
          <w:rFonts w:ascii="Times New Roman" w:hAnsi="Times New Roman" w:cs="Times New Roman"/>
          <w:bCs/>
          <w:i/>
          <w:iCs/>
          <w:sz w:val="23"/>
          <w:szCs w:val="23"/>
        </w:rPr>
        <w:t xml:space="preserve">des « produits locaux » </w:t>
      </w:r>
      <w:r w:rsidR="000C45BD">
        <w:rPr>
          <w:rFonts w:ascii="Times New Roman" w:hAnsi="Times New Roman" w:cs="Times New Roman"/>
          <w:bCs/>
          <w:i/>
          <w:iCs/>
          <w:sz w:val="23"/>
          <w:szCs w:val="23"/>
        </w:rPr>
        <w:t xml:space="preserve"> ont globalement </w:t>
      </w:r>
      <w:r w:rsidR="000C45BD">
        <w:rPr>
          <w:rFonts w:ascii="Times New Roman" w:hAnsi="Times New Roman" w:cs="Times New Roman"/>
          <w:bCs/>
          <w:i/>
          <w:iCs/>
          <w:sz w:val="23"/>
          <w:szCs w:val="23"/>
        </w:rPr>
        <w:t>augmenté</w:t>
      </w:r>
      <w:r w:rsidR="000C45BD">
        <w:rPr>
          <w:rFonts w:ascii="Times New Roman" w:hAnsi="Times New Roman" w:cs="Times New Roman"/>
          <w:bCs/>
          <w:i/>
          <w:iCs/>
          <w:sz w:val="23"/>
          <w:szCs w:val="23"/>
        </w:rPr>
        <w:t xml:space="preserve"> respectivement </w:t>
      </w:r>
      <w:r w:rsidR="000C45BD">
        <w:rPr>
          <w:rFonts w:ascii="Times New Roman" w:hAnsi="Times New Roman" w:cs="Times New Roman"/>
          <w:bCs/>
          <w:i/>
          <w:iCs/>
          <w:sz w:val="23"/>
          <w:szCs w:val="23"/>
        </w:rPr>
        <w:t xml:space="preserve">de </w:t>
      </w:r>
      <w:r w:rsidR="000C45BD">
        <w:rPr>
          <w:rFonts w:ascii="Times New Roman" w:hAnsi="Times New Roman" w:cs="Times New Roman"/>
          <w:b/>
          <w:bCs/>
          <w:i/>
          <w:iCs/>
          <w:sz w:val="23"/>
          <w:szCs w:val="23"/>
        </w:rPr>
        <w:t>0,2</w:t>
      </w:r>
      <w:r w:rsidR="000C45BD" w:rsidRPr="00262D3A">
        <w:rPr>
          <w:rFonts w:ascii="Times New Roman" w:hAnsi="Times New Roman" w:cs="Times New Roman"/>
          <w:b/>
          <w:bCs/>
          <w:i/>
          <w:iCs/>
          <w:sz w:val="23"/>
          <w:szCs w:val="23"/>
        </w:rPr>
        <w:t>%</w:t>
      </w:r>
      <w:r w:rsidR="000C45BD">
        <w:rPr>
          <w:rFonts w:ascii="Times New Roman" w:hAnsi="Times New Roman" w:cs="Times New Roman"/>
          <w:b/>
          <w:bCs/>
          <w:i/>
          <w:iCs/>
          <w:sz w:val="23"/>
          <w:szCs w:val="23"/>
        </w:rPr>
        <w:t xml:space="preserve"> </w:t>
      </w:r>
      <w:r w:rsidR="000C45BD" w:rsidRPr="000C45BD">
        <w:rPr>
          <w:rFonts w:ascii="Times New Roman" w:hAnsi="Times New Roman" w:cs="Times New Roman"/>
          <w:bCs/>
          <w:i/>
          <w:iCs/>
          <w:sz w:val="23"/>
          <w:szCs w:val="23"/>
        </w:rPr>
        <w:t xml:space="preserve">et </w:t>
      </w:r>
      <w:r w:rsidR="000C45BD">
        <w:rPr>
          <w:rFonts w:ascii="Times New Roman" w:hAnsi="Times New Roman" w:cs="Times New Roman"/>
          <w:bCs/>
          <w:i/>
          <w:iCs/>
          <w:sz w:val="23"/>
          <w:szCs w:val="23"/>
        </w:rPr>
        <w:t xml:space="preserve">de </w:t>
      </w:r>
      <w:r w:rsidR="00702005">
        <w:rPr>
          <w:rFonts w:ascii="Times New Roman" w:hAnsi="Times New Roman" w:cs="Times New Roman"/>
          <w:b/>
          <w:bCs/>
          <w:i/>
          <w:iCs/>
          <w:sz w:val="23"/>
          <w:szCs w:val="23"/>
        </w:rPr>
        <w:t>1,4</w:t>
      </w:r>
      <w:r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 xml:space="preserve"> ;</w:t>
      </w:r>
    </w:p>
    <w:p w:rsidR="003671B8" w:rsidRPr="00262D3A" w:rsidRDefault="003671B8" w:rsidP="003671B8">
      <w:pPr>
        <w:pStyle w:val="Paragraphedeliste"/>
        <w:numPr>
          <w:ilvl w:val="0"/>
          <w:numId w:val="5"/>
        </w:numPr>
        <w:spacing w:line="312" w:lineRule="auto"/>
        <w:contextualSpacing w:val="0"/>
        <w:jc w:val="both"/>
        <w:rPr>
          <w:rFonts w:ascii="Times New Roman" w:hAnsi="Times New Roman" w:cs="Times New Roman"/>
          <w:bCs/>
          <w:i/>
          <w:iCs/>
          <w:sz w:val="23"/>
          <w:szCs w:val="23"/>
        </w:rPr>
      </w:pPr>
      <w:r w:rsidRPr="00262D3A">
        <w:rPr>
          <w:rFonts w:ascii="Times New Roman" w:hAnsi="Times New Roman" w:cs="Times New Roman"/>
          <w:bCs/>
          <w:i/>
          <w:iCs/>
          <w:sz w:val="23"/>
          <w:szCs w:val="23"/>
        </w:rPr>
        <w:t xml:space="preserve">en glissement annuel, les prix des </w:t>
      </w:r>
      <w:r w:rsidR="00955E41" w:rsidRPr="00262D3A">
        <w:rPr>
          <w:rFonts w:ascii="Times New Roman" w:hAnsi="Times New Roman" w:cs="Times New Roman"/>
          <w:bCs/>
          <w:i/>
          <w:iCs/>
          <w:sz w:val="23"/>
          <w:szCs w:val="23"/>
        </w:rPr>
        <w:t>« produits importés »</w:t>
      </w:r>
      <w:r w:rsidR="00955E41">
        <w:rPr>
          <w:rFonts w:ascii="Times New Roman" w:hAnsi="Times New Roman" w:cs="Times New Roman"/>
          <w:bCs/>
          <w:i/>
          <w:iCs/>
          <w:sz w:val="23"/>
          <w:szCs w:val="23"/>
        </w:rPr>
        <w:t xml:space="preserve"> </w:t>
      </w:r>
      <w:r w:rsidR="000C45BD">
        <w:rPr>
          <w:rFonts w:ascii="Times New Roman" w:hAnsi="Times New Roman" w:cs="Times New Roman"/>
          <w:bCs/>
          <w:i/>
          <w:iCs/>
          <w:sz w:val="23"/>
          <w:szCs w:val="23"/>
        </w:rPr>
        <w:t xml:space="preserve">ont globalement diminué de </w:t>
      </w:r>
      <w:r w:rsidR="000C45BD">
        <w:rPr>
          <w:rFonts w:ascii="Times New Roman" w:hAnsi="Times New Roman" w:cs="Times New Roman"/>
          <w:b/>
          <w:bCs/>
          <w:i/>
          <w:iCs/>
          <w:sz w:val="23"/>
          <w:szCs w:val="23"/>
        </w:rPr>
        <w:t>0,8</w:t>
      </w:r>
      <w:r w:rsidR="000C45BD" w:rsidRPr="00262D3A">
        <w:rPr>
          <w:rFonts w:ascii="Times New Roman" w:hAnsi="Times New Roman" w:cs="Times New Roman"/>
          <w:b/>
          <w:bCs/>
          <w:i/>
          <w:iCs/>
          <w:sz w:val="23"/>
          <w:szCs w:val="23"/>
        </w:rPr>
        <w:t>%</w:t>
      </w:r>
      <w:r w:rsidR="000C45BD" w:rsidRPr="000C45BD">
        <w:rPr>
          <w:rFonts w:ascii="Times New Roman" w:hAnsi="Times New Roman" w:cs="Times New Roman"/>
          <w:bCs/>
          <w:i/>
          <w:iCs/>
          <w:sz w:val="23"/>
          <w:szCs w:val="23"/>
        </w:rPr>
        <w:t>.</w:t>
      </w:r>
      <w:r w:rsidR="000C45BD">
        <w:rPr>
          <w:rFonts w:ascii="Times New Roman" w:hAnsi="Times New Roman" w:cs="Times New Roman"/>
          <w:b/>
          <w:bCs/>
          <w:i/>
          <w:iCs/>
          <w:sz w:val="23"/>
          <w:szCs w:val="23"/>
        </w:rPr>
        <w:t xml:space="preserve"> </w:t>
      </w:r>
      <w:r w:rsidR="000C45BD" w:rsidRPr="000C45BD">
        <w:rPr>
          <w:rFonts w:ascii="Times New Roman" w:hAnsi="Times New Roman" w:cs="Times New Roman"/>
          <w:bCs/>
          <w:i/>
          <w:iCs/>
          <w:sz w:val="23"/>
          <w:szCs w:val="23"/>
        </w:rPr>
        <w:t>Il est ainsi de même pour</w:t>
      </w:r>
      <w:r w:rsidR="000C45BD">
        <w:rPr>
          <w:rFonts w:ascii="Times New Roman" w:hAnsi="Times New Roman" w:cs="Times New Roman"/>
          <w:b/>
          <w:bCs/>
          <w:i/>
          <w:iCs/>
          <w:sz w:val="23"/>
          <w:szCs w:val="23"/>
        </w:rPr>
        <w:t xml:space="preserve"> </w:t>
      </w:r>
      <w:r w:rsidR="000C45BD">
        <w:rPr>
          <w:rFonts w:ascii="Times New Roman" w:hAnsi="Times New Roman" w:cs="Times New Roman"/>
          <w:bCs/>
          <w:i/>
          <w:iCs/>
          <w:sz w:val="23"/>
          <w:szCs w:val="23"/>
        </w:rPr>
        <w:t>les prix des</w:t>
      </w:r>
      <w:r w:rsidR="00955E41">
        <w:rPr>
          <w:rFonts w:ascii="Times New Roman" w:hAnsi="Times New Roman" w:cs="Times New Roman"/>
          <w:bCs/>
          <w:i/>
          <w:iCs/>
          <w:sz w:val="23"/>
          <w:szCs w:val="23"/>
        </w:rPr>
        <w:t xml:space="preserve"> « produits locaux » </w:t>
      </w:r>
      <w:r w:rsidR="000C45BD">
        <w:rPr>
          <w:rFonts w:ascii="Times New Roman" w:hAnsi="Times New Roman" w:cs="Times New Roman"/>
          <w:bCs/>
          <w:i/>
          <w:iCs/>
          <w:sz w:val="23"/>
          <w:szCs w:val="23"/>
        </w:rPr>
        <w:t>qui ont globalement baissé de</w:t>
      </w:r>
      <w:r w:rsidR="00955E41">
        <w:rPr>
          <w:rFonts w:ascii="Times New Roman" w:hAnsi="Times New Roman" w:cs="Times New Roman"/>
          <w:bCs/>
          <w:i/>
          <w:iCs/>
          <w:sz w:val="23"/>
          <w:szCs w:val="23"/>
        </w:rPr>
        <w:t xml:space="preserve"> </w:t>
      </w:r>
      <w:r w:rsidR="00702005">
        <w:rPr>
          <w:rFonts w:ascii="Times New Roman" w:hAnsi="Times New Roman" w:cs="Times New Roman"/>
          <w:b/>
          <w:bCs/>
          <w:i/>
          <w:iCs/>
          <w:sz w:val="23"/>
          <w:szCs w:val="23"/>
        </w:rPr>
        <w:t>1,0</w:t>
      </w:r>
      <w:r w:rsidR="00955E41" w:rsidRPr="00262D3A">
        <w:rPr>
          <w:rFonts w:ascii="Times New Roman" w:hAnsi="Times New Roman" w:cs="Times New Roman"/>
          <w:b/>
          <w:bCs/>
          <w:i/>
          <w:iCs/>
          <w:sz w:val="23"/>
          <w:szCs w:val="23"/>
        </w:rPr>
        <w:t>%</w:t>
      </w:r>
      <w:r w:rsidRPr="00262D3A">
        <w:rPr>
          <w:rFonts w:ascii="Times New Roman" w:hAnsi="Times New Roman" w:cs="Times New Roman"/>
          <w:bCs/>
          <w:i/>
          <w:iCs/>
          <w:sz w:val="23"/>
          <w:szCs w:val="23"/>
        </w:rPr>
        <w:t>.</w:t>
      </w:r>
    </w:p>
    <w:p w:rsidR="003671B8" w:rsidRPr="00262D3A" w:rsidRDefault="003671B8" w:rsidP="003671B8">
      <w:pPr>
        <w:pStyle w:val="Titre5"/>
        <w:spacing w:before="120" w:line="312" w:lineRule="auto"/>
        <w:ind w:left="-142"/>
        <w:rPr>
          <w:rFonts w:ascii="Times New Roman" w:hAnsi="Times New Roman" w:cs="Times New Roman"/>
          <w:b/>
          <w:color w:val="auto"/>
        </w:rPr>
      </w:pPr>
      <w:r w:rsidRPr="00262D3A">
        <w:rPr>
          <w:rFonts w:ascii="Times New Roman" w:hAnsi="Times New Roman" w:cs="Times New Roman"/>
          <w:b/>
          <w:color w:val="auto"/>
          <w:sz w:val="23"/>
          <w:szCs w:val="23"/>
        </w:rPr>
        <w:t>Taux d’inflation suivant le critère de convergence dans l’espace UEMOA</w:t>
      </w:r>
      <w:r w:rsidRPr="00262D3A">
        <w:rPr>
          <w:rStyle w:val="Appelnotedebasdep"/>
          <w:rFonts w:ascii="Times New Roman" w:hAnsi="Times New Roman" w:cs="Times New Roman"/>
          <w:b/>
          <w:color w:val="auto"/>
          <w:sz w:val="23"/>
          <w:szCs w:val="23"/>
        </w:rPr>
        <w:footnoteReference w:id="1"/>
      </w:r>
    </w:p>
    <w:p w:rsidR="00E731F6" w:rsidRDefault="00E731F6" w:rsidP="00E731F6">
      <w:pPr>
        <w:spacing w:line="312" w:lineRule="auto"/>
        <w:ind w:left="-142"/>
        <w:jc w:val="both"/>
        <w:rPr>
          <w:rFonts w:ascii="Times New Roman" w:hAnsi="Times New Roman" w:cs="Times New Roman"/>
          <w:bCs/>
          <w:i/>
          <w:iCs/>
          <w:sz w:val="23"/>
          <w:szCs w:val="23"/>
        </w:rPr>
      </w:pPr>
      <w:r w:rsidRPr="00262D3A">
        <w:rPr>
          <w:rFonts w:ascii="Times New Roman" w:hAnsi="Times New Roman" w:cs="Times New Roman"/>
          <w:bCs/>
          <w:i/>
          <w:iCs/>
          <w:sz w:val="23"/>
          <w:szCs w:val="23"/>
        </w:rPr>
        <w:t>Le taux d’inflation au niveau nat</w:t>
      </w:r>
      <w:r>
        <w:rPr>
          <w:rFonts w:ascii="Times New Roman" w:hAnsi="Times New Roman" w:cs="Times New Roman"/>
          <w:bCs/>
          <w:i/>
          <w:iCs/>
          <w:sz w:val="23"/>
          <w:szCs w:val="23"/>
        </w:rPr>
        <w:t xml:space="preserve">ional au titre du mois de </w:t>
      </w:r>
      <w:r w:rsidR="00702005">
        <w:rPr>
          <w:rFonts w:ascii="Times New Roman" w:hAnsi="Times New Roman" w:cs="Times New Roman"/>
          <w:bCs/>
          <w:i/>
          <w:iCs/>
          <w:sz w:val="23"/>
          <w:szCs w:val="23"/>
        </w:rPr>
        <w:t>mars</w:t>
      </w:r>
      <w:r>
        <w:rPr>
          <w:rFonts w:ascii="Times New Roman" w:hAnsi="Times New Roman" w:cs="Times New Roman"/>
          <w:bCs/>
          <w:i/>
          <w:iCs/>
          <w:sz w:val="23"/>
          <w:szCs w:val="23"/>
        </w:rPr>
        <w:t xml:space="preserve"> 2021</w:t>
      </w:r>
      <w:r w:rsidRPr="00262D3A">
        <w:rPr>
          <w:rFonts w:ascii="Times New Roman" w:hAnsi="Times New Roman" w:cs="Times New Roman"/>
          <w:bCs/>
          <w:i/>
          <w:iCs/>
          <w:sz w:val="23"/>
          <w:szCs w:val="23"/>
        </w:rPr>
        <w:t xml:space="preserve">, suivant la définition adoptée dans l’espace UEMOA, est </w:t>
      </w:r>
      <w:r>
        <w:rPr>
          <w:rFonts w:ascii="Times New Roman" w:hAnsi="Times New Roman" w:cs="Times New Roman"/>
          <w:bCs/>
          <w:i/>
          <w:iCs/>
          <w:sz w:val="23"/>
          <w:szCs w:val="23"/>
        </w:rPr>
        <w:t>ressorti à</w:t>
      </w:r>
      <w:r w:rsidR="00702005">
        <w:rPr>
          <w:rFonts w:ascii="Times New Roman" w:hAnsi="Times New Roman" w:cs="Times New Roman"/>
          <w:bCs/>
          <w:i/>
          <w:iCs/>
          <w:sz w:val="23"/>
          <w:szCs w:val="23"/>
        </w:rPr>
        <w:t xml:space="preserve"> </w:t>
      </w:r>
      <w:r w:rsidR="00702005">
        <w:rPr>
          <w:rFonts w:ascii="Times New Roman" w:hAnsi="Times New Roman" w:cs="Times New Roman"/>
          <w:b/>
          <w:bCs/>
          <w:i/>
          <w:iCs/>
          <w:sz w:val="23"/>
          <w:szCs w:val="23"/>
        </w:rPr>
        <w:t>+2,3</w:t>
      </w:r>
      <w:r w:rsidRPr="00262D3A">
        <w:rPr>
          <w:rFonts w:ascii="Times New Roman" w:hAnsi="Times New Roman" w:cs="Times New Roman"/>
          <w:b/>
          <w:bCs/>
          <w:i/>
          <w:iCs/>
          <w:sz w:val="23"/>
          <w:szCs w:val="23"/>
        </w:rPr>
        <w:t>%</w:t>
      </w:r>
      <w:r w:rsidRPr="00280942">
        <w:rPr>
          <w:rFonts w:ascii="Times New Roman" w:hAnsi="Times New Roman" w:cs="Times New Roman"/>
          <w:bCs/>
          <w:i/>
          <w:iCs/>
          <w:sz w:val="23"/>
          <w:szCs w:val="23"/>
        </w:rPr>
        <w:t>.</w:t>
      </w:r>
      <w:r w:rsidR="00416C85" w:rsidRPr="00416C85">
        <w:rPr>
          <w:rFonts w:ascii="Times New Roman" w:hAnsi="Times New Roman" w:cs="Times New Roman"/>
          <w:bCs/>
          <w:i/>
          <w:iCs/>
          <w:sz w:val="23"/>
          <w:szCs w:val="23"/>
        </w:rPr>
        <w:t xml:space="preserve">Ce niveau bien que positif </w:t>
      </w:r>
      <w:r w:rsidR="00416C85">
        <w:rPr>
          <w:rFonts w:ascii="Times New Roman" w:hAnsi="Times New Roman" w:cs="Times New Roman"/>
          <w:bCs/>
          <w:i/>
          <w:iCs/>
          <w:sz w:val="23"/>
          <w:szCs w:val="23"/>
        </w:rPr>
        <w:t>est</w:t>
      </w:r>
      <w:r w:rsidR="00416C85" w:rsidRPr="00416C85">
        <w:rPr>
          <w:rFonts w:ascii="Times New Roman" w:hAnsi="Times New Roman" w:cs="Times New Roman"/>
          <w:bCs/>
          <w:i/>
          <w:iCs/>
          <w:sz w:val="23"/>
          <w:szCs w:val="23"/>
        </w:rPr>
        <w:t xml:space="preserve"> en dessous du seuil de 3% fixé dans le cadre de la surveillance multilatérale au sein des Etats membres de l’UEMOA.</w:t>
      </w:r>
    </w:p>
    <w:p w:rsidR="003671B8" w:rsidRPr="00262D3A" w:rsidRDefault="003671B8" w:rsidP="003671B8">
      <w:pPr>
        <w:pStyle w:val="Titre5"/>
        <w:spacing w:before="120"/>
        <w:rPr>
          <w:b/>
          <w:color w:val="auto"/>
        </w:rPr>
      </w:pPr>
      <w:r w:rsidRPr="00262D3A">
        <w:rPr>
          <w:rFonts w:ascii="Times New Roman" w:hAnsi="Times New Roman"/>
          <w:b/>
          <w:color w:val="auto"/>
          <w:sz w:val="24"/>
          <w:szCs w:val="24"/>
        </w:rPr>
        <w:t>Tableau 1: Indice Harmonisé des Prix à l</w:t>
      </w:r>
      <w:r w:rsidR="006972F4">
        <w:rPr>
          <w:rFonts w:ascii="Times New Roman" w:hAnsi="Times New Roman"/>
          <w:b/>
          <w:color w:val="auto"/>
          <w:sz w:val="24"/>
          <w:szCs w:val="24"/>
        </w:rPr>
        <w:t xml:space="preserve">a </w:t>
      </w:r>
      <w:r w:rsidR="00397D09">
        <w:rPr>
          <w:rFonts w:ascii="Times New Roman" w:hAnsi="Times New Roman"/>
          <w:b/>
          <w:color w:val="auto"/>
          <w:sz w:val="24"/>
          <w:szCs w:val="24"/>
        </w:rPr>
        <w:t xml:space="preserve">Consommation du mois de </w:t>
      </w:r>
      <w:r w:rsidR="00B57B13">
        <w:rPr>
          <w:rFonts w:ascii="Times New Roman" w:hAnsi="Times New Roman"/>
          <w:b/>
          <w:color w:val="auto"/>
          <w:sz w:val="24"/>
          <w:szCs w:val="24"/>
        </w:rPr>
        <w:t>mars</w:t>
      </w:r>
      <w:r w:rsidR="0030459A">
        <w:rPr>
          <w:rFonts w:ascii="Times New Roman" w:hAnsi="Times New Roman"/>
          <w:b/>
          <w:color w:val="auto"/>
          <w:sz w:val="24"/>
          <w:szCs w:val="24"/>
        </w:rPr>
        <w:t xml:space="preserve"> 2021</w:t>
      </w:r>
    </w:p>
    <w:tbl>
      <w:tblPr>
        <w:tblW w:w="10384" w:type="dxa"/>
        <w:tblLayout w:type="fixed"/>
        <w:tblCellMar>
          <w:left w:w="70" w:type="dxa"/>
          <w:right w:w="70" w:type="dxa"/>
        </w:tblCellMar>
        <w:tblLook w:val="04A0" w:firstRow="1" w:lastRow="0" w:firstColumn="1" w:lastColumn="0" w:noHBand="0" w:noVBand="1"/>
      </w:tblPr>
      <w:tblGrid>
        <w:gridCol w:w="3567"/>
        <w:gridCol w:w="590"/>
        <w:gridCol w:w="760"/>
        <w:gridCol w:w="780"/>
        <w:gridCol w:w="824"/>
        <w:gridCol w:w="745"/>
        <w:gridCol w:w="842"/>
        <w:gridCol w:w="30"/>
        <w:gridCol w:w="185"/>
        <w:gridCol w:w="532"/>
        <w:gridCol w:w="8"/>
        <w:gridCol w:w="644"/>
        <w:gridCol w:w="19"/>
        <w:gridCol w:w="850"/>
        <w:gridCol w:w="8"/>
      </w:tblGrid>
      <w:tr w:rsidR="003671B8" w:rsidRPr="0042781F" w:rsidTr="00443B27">
        <w:trPr>
          <w:trHeight w:val="315"/>
        </w:trPr>
        <w:tc>
          <w:tcPr>
            <w:tcW w:w="3567" w:type="dxa"/>
            <w:tcBorders>
              <w:top w:val="double" w:sz="6" w:space="0" w:color="auto"/>
              <w:left w:val="nil"/>
              <w:bottom w:val="nil"/>
              <w:right w:val="nil"/>
            </w:tcBorders>
            <w:shd w:val="clear" w:color="000000" w:fill="00FFFF"/>
            <w:noWrap/>
            <w:vAlign w:val="bottom"/>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val="restart"/>
            <w:tcBorders>
              <w:top w:val="double" w:sz="6" w:space="0" w:color="auto"/>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Poids</w:t>
            </w:r>
          </w:p>
        </w:tc>
        <w:tc>
          <w:tcPr>
            <w:tcW w:w="4166" w:type="dxa"/>
            <w:gridSpan w:val="7"/>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Indice des mois de :</w:t>
            </w:r>
          </w:p>
        </w:tc>
        <w:tc>
          <w:tcPr>
            <w:tcW w:w="2061" w:type="dxa"/>
            <w:gridSpan w:val="6"/>
            <w:tcBorders>
              <w:top w:val="double" w:sz="6" w:space="0" w:color="auto"/>
              <w:left w:val="nil"/>
              <w:bottom w:val="nil"/>
              <w:right w:val="nil"/>
            </w:tcBorders>
            <w:shd w:val="clear" w:color="000000" w:fill="00FFFF"/>
            <w:noWrap/>
            <w:vAlign w:val="bottom"/>
            <w:hideMark/>
          </w:tcPr>
          <w:p w:rsidR="003671B8" w:rsidRPr="0042781F" w:rsidRDefault="003671B8" w:rsidP="003671B8">
            <w:pPr>
              <w:jc w:val="center"/>
              <w:rPr>
                <w:rFonts w:ascii="Times New Roman" w:hAnsi="Times New Roman" w:cs="Times New Roman"/>
                <w:sz w:val="18"/>
                <w:szCs w:val="18"/>
              </w:rPr>
            </w:pPr>
            <w:r w:rsidRPr="0042781F">
              <w:rPr>
                <w:rFonts w:ascii="Times New Roman" w:hAnsi="Times New Roman" w:cs="Times New Roman"/>
                <w:sz w:val="18"/>
                <w:szCs w:val="18"/>
              </w:rPr>
              <w:t>Variation depuis :</w:t>
            </w:r>
          </w:p>
        </w:tc>
      </w:tr>
      <w:tr w:rsidR="003671B8" w:rsidRPr="0042781F" w:rsidTr="00443B27">
        <w:trPr>
          <w:trHeight w:val="300"/>
        </w:trPr>
        <w:tc>
          <w:tcPr>
            <w:tcW w:w="3567" w:type="dxa"/>
            <w:vMerge w:val="restart"/>
            <w:tcBorders>
              <w:top w:val="nil"/>
              <w:left w:val="nil"/>
              <w:bottom w:val="nil"/>
              <w:right w:val="nil"/>
            </w:tcBorders>
            <w:shd w:val="clear" w:color="000000" w:fill="00FFFF"/>
            <w:hideMark/>
          </w:tcPr>
          <w:p w:rsidR="003671B8" w:rsidRPr="0042781F" w:rsidRDefault="003671B8" w:rsidP="003671B8">
            <w:pPr>
              <w:rPr>
                <w:rFonts w:ascii="Times New Roman" w:hAnsi="Times New Roman" w:cs="Times New Roman"/>
                <w:sz w:val="18"/>
                <w:szCs w:val="18"/>
              </w:rPr>
            </w:pPr>
            <w:r w:rsidRPr="0042781F">
              <w:rPr>
                <w:rFonts w:ascii="Times New Roman" w:hAnsi="Times New Roman" w:cs="Times New Roman"/>
                <w:sz w:val="18"/>
                <w:szCs w:val="18"/>
              </w:rPr>
              <w:t> </w:t>
            </w: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val="restart"/>
            <w:tcBorders>
              <w:top w:val="nil"/>
              <w:left w:val="nil"/>
              <w:bottom w:val="nil"/>
              <w:right w:val="nil"/>
            </w:tcBorders>
            <w:shd w:val="clear" w:color="000000" w:fill="00FFFF"/>
            <w:vAlign w:val="bottom"/>
            <w:hideMark/>
          </w:tcPr>
          <w:p w:rsidR="003671B8" w:rsidRPr="0042781F" w:rsidRDefault="00754CAC" w:rsidP="003671B8">
            <w:pPr>
              <w:jc w:val="center"/>
              <w:rPr>
                <w:rFonts w:ascii="Times New Roman" w:hAnsi="Times New Roman" w:cs="Times New Roman"/>
                <w:b/>
                <w:bCs/>
                <w:sz w:val="18"/>
                <w:szCs w:val="18"/>
              </w:rPr>
            </w:pPr>
            <w:r>
              <w:rPr>
                <w:rFonts w:ascii="Times New Roman" w:hAnsi="Times New Roman" w:cs="Times New Roman"/>
                <w:b/>
                <w:bCs/>
                <w:sz w:val="18"/>
                <w:szCs w:val="18"/>
              </w:rPr>
              <w:t>mar.</w:t>
            </w:r>
            <w:r w:rsidR="003C343B">
              <w:rPr>
                <w:rFonts w:ascii="Times New Roman" w:hAnsi="Times New Roman" w:cs="Times New Roman"/>
                <w:b/>
                <w:bCs/>
                <w:sz w:val="18"/>
                <w:szCs w:val="18"/>
              </w:rPr>
              <w:t>-20</w:t>
            </w:r>
          </w:p>
        </w:tc>
        <w:tc>
          <w:tcPr>
            <w:tcW w:w="780"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824" w:type="dxa"/>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 </w:t>
            </w:r>
          </w:p>
        </w:tc>
        <w:tc>
          <w:tcPr>
            <w:tcW w:w="745" w:type="dxa"/>
            <w:vMerge w:val="restart"/>
            <w:tcBorders>
              <w:top w:val="nil"/>
              <w:left w:val="nil"/>
              <w:bottom w:val="nil"/>
              <w:right w:val="nil"/>
            </w:tcBorders>
            <w:shd w:val="clear" w:color="000000" w:fill="00FFFF"/>
            <w:vAlign w:val="bottom"/>
            <w:hideMark/>
          </w:tcPr>
          <w:p w:rsidR="003671B8" w:rsidRPr="0042781F" w:rsidRDefault="00443B27" w:rsidP="003671B8">
            <w:pPr>
              <w:jc w:val="center"/>
              <w:rPr>
                <w:rFonts w:ascii="Times New Roman" w:hAnsi="Times New Roman" w:cs="Times New Roman"/>
                <w:b/>
                <w:bCs/>
                <w:sz w:val="18"/>
                <w:szCs w:val="18"/>
              </w:rPr>
            </w:pPr>
            <w:r>
              <w:rPr>
                <w:rFonts w:ascii="Times New Roman" w:hAnsi="Times New Roman" w:cs="Times New Roman"/>
                <w:b/>
                <w:bCs/>
                <w:sz w:val="18"/>
                <w:szCs w:val="18"/>
              </w:rPr>
              <w:t>fév.</w:t>
            </w:r>
            <w:r w:rsidRPr="0042781F">
              <w:rPr>
                <w:rFonts w:ascii="Times New Roman" w:hAnsi="Times New Roman" w:cs="Times New Roman"/>
                <w:b/>
                <w:bCs/>
                <w:sz w:val="18"/>
                <w:szCs w:val="18"/>
              </w:rPr>
              <w:t>-2</w:t>
            </w:r>
            <w:r>
              <w:rPr>
                <w:rFonts w:ascii="Times New Roman" w:hAnsi="Times New Roman" w:cs="Times New Roman"/>
                <w:b/>
                <w:bCs/>
                <w:sz w:val="18"/>
                <w:szCs w:val="18"/>
              </w:rPr>
              <w:t>1</w:t>
            </w:r>
          </w:p>
        </w:tc>
        <w:tc>
          <w:tcPr>
            <w:tcW w:w="872" w:type="dxa"/>
            <w:gridSpan w:val="2"/>
            <w:vMerge w:val="restart"/>
            <w:tcBorders>
              <w:top w:val="nil"/>
              <w:left w:val="nil"/>
              <w:bottom w:val="nil"/>
              <w:right w:val="nil"/>
            </w:tcBorders>
            <w:shd w:val="clear" w:color="000000" w:fill="00FFFF"/>
            <w:vAlign w:val="bottom"/>
            <w:hideMark/>
          </w:tcPr>
          <w:p w:rsidR="003671B8" w:rsidRPr="0042781F" w:rsidRDefault="00754CAC" w:rsidP="003671B8">
            <w:pPr>
              <w:jc w:val="center"/>
              <w:rPr>
                <w:rFonts w:ascii="Times New Roman" w:hAnsi="Times New Roman" w:cs="Times New Roman"/>
                <w:b/>
                <w:bCs/>
                <w:sz w:val="18"/>
                <w:szCs w:val="18"/>
              </w:rPr>
            </w:pPr>
            <w:r>
              <w:rPr>
                <w:rFonts w:ascii="Times New Roman" w:hAnsi="Times New Roman" w:cs="Times New Roman"/>
                <w:b/>
                <w:bCs/>
                <w:sz w:val="18"/>
                <w:szCs w:val="18"/>
              </w:rPr>
              <w:t>mar.</w:t>
            </w:r>
            <w:r w:rsidR="007B2C2C" w:rsidRPr="0042781F">
              <w:rPr>
                <w:rFonts w:ascii="Times New Roman" w:hAnsi="Times New Roman" w:cs="Times New Roman"/>
                <w:b/>
                <w:bCs/>
                <w:sz w:val="18"/>
                <w:szCs w:val="18"/>
              </w:rPr>
              <w:t>-</w:t>
            </w:r>
            <w:r w:rsidR="003671B8" w:rsidRPr="0042781F">
              <w:rPr>
                <w:rFonts w:ascii="Times New Roman" w:hAnsi="Times New Roman" w:cs="Times New Roman"/>
                <w:b/>
                <w:bCs/>
                <w:sz w:val="18"/>
                <w:szCs w:val="18"/>
              </w:rPr>
              <w:t>2</w:t>
            </w:r>
            <w:r w:rsidR="003C343B">
              <w:rPr>
                <w:rFonts w:ascii="Times New Roman" w:hAnsi="Times New Roman" w:cs="Times New Roman"/>
                <w:b/>
                <w:bCs/>
                <w:sz w:val="18"/>
                <w:szCs w:val="18"/>
              </w:rPr>
              <w:t>1</w:t>
            </w:r>
          </w:p>
        </w:tc>
        <w:tc>
          <w:tcPr>
            <w:tcW w:w="725"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 mois</w:t>
            </w:r>
          </w:p>
        </w:tc>
        <w:tc>
          <w:tcPr>
            <w:tcW w:w="644" w:type="dxa"/>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3 mois</w:t>
            </w:r>
          </w:p>
        </w:tc>
        <w:tc>
          <w:tcPr>
            <w:tcW w:w="877" w:type="dxa"/>
            <w:gridSpan w:val="3"/>
            <w:vMerge w:val="restart"/>
            <w:tcBorders>
              <w:top w:val="nil"/>
              <w:left w:val="nil"/>
              <w:bottom w:val="nil"/>
              <w:right w:val="nil"/>
            </w:tcBorders>
            <w:shd w:val="clear" w:color="000000" w:fill="00FFFF"/>
            <w:vAlign w:val="bottom"/>
            <w:hideMark/>
          </w:tcPr>
          <w:p w:rsidR="003671B8" w:rsidRPr="0042781F" w:rsidRDefault="003671B8" w:rsidP="003671B8">
            <w:pPr>
              <w:jc w:val="center"/>
              <w:rPr>
                <w:rFonts w:ascii="Times New Roman" w:hAnsi="Times New Roman" w:cs="Times New Roman"/>
                <w:b/>
                <w:bCs/>
                <w:sz w:val="18"/>
                <w:szCs w:val="18"/>
              </w:rPr>
            </w:pPr>
            <w:r w:rsidRPr="0042781F">
              <w:rPr>
                <w:rFonts w:ascii="Times New Roman" w:hAnsi="Times New Roman" w:cs="Times New Roman"/>
                <w:b/>
                <w:bCs/>
                <w:sz w:val="18"/>
                <w:szCs w:val="18"/>
              </w:rPr>
              <w:t>12 mois</w:t>
            </w:r>
          </w:p>
        </w:tc>
      </w:tr>
      <w:tr w:rsidR="003671B8" w:rsidRPr="0042781F" w:rsidTr="00443B27">
        <w:trPr>
          <w:trHeight w:val="300"/>
        </w:trPr>
        <w:tc>
          <w:tcPr>
            <w:tcW w:w="3567"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sz w:val="18"/>
                <w:szCs w:val="18"/>
              </w:rPr>
            </w:pPr>
          </w:p>
        </w:tc>
        <w:tc>
          <w:tcPr>
            <w:tcW w:w="590" w:type="dxa"/>
            <w:vMerge/>
            <w:tcBorders>
              <w:top w:val="double" w:sz="6" w:space="0" w:color="auto"/>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60"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80" w:type="dxa"/>
            <w:tcBorders>
              <w:top w:val="nil"/>
              <w:left w:val="nil"/>
              <w:bottom w:val="nil"/>
              <w:right w:val="nil"/>
            </w:tcBorders>
            <w:shd w:val="clear" w:color="000000" w:fill="00FFFF"/>
            <w:vAlign w:val="bottom"/>
            <w:hideMark/>
          </w:tcPr>
          <w:p w:rsidR="003671B8" w:rsidRPr="0042781F" w:rsidRDefault="00754CAC" w:rsidP="003671B8">
            <w:pPr>
              <w:jc w:val="center"/>
              <w:rPr>
                <w:rFonts w:ascii="Times New Roman" w:hAnsi="Times New Roman" w:cs="Times New Roman"/>
                <w:b/>
                <w:bCs/>
                <w:sz w:val="18"/>
                <w:szCs w:val="18"/>
              </w:rPr>
            </w:pPr>
            <w:r>
              <w:rPr>
                <w:rFonts w:ascii="Times New Roman" w:hAnsi="Times New Roman" w:cs="Times New Roman"/>
                <w:b/>
                <w:bCs/>
                <w:sz w:val="18"/>
                <w:szCs w:val="18"/>
              </w:rPr>
              <w:t>déc</w:t>
            </w:r>
            <w:r w:rsidR="003C343B">
              <w:rPr>
                <w:rFonts w:ascii="Times New Roman" w:hAnsi="Times New Roman" w:cs="Times New Roman"/>
                <w:b/>
                <w:bCs/>
                <w:sz w:val="18"/>
                <w:szCs w:val="18"/>
              </w:rPr>
              <w:t>.</w:t>
            </w:r>
            <w:r w:rsidR="003C343B" w:rsidRPr="0042781F">
              <w:rPr>
                <w:rFonts w:ascii="Times New Roman" w:hAnsi="Times New Roman" w:cs="Times New Roman"/>
                <w:b/>
                <w:bCs/>
                <w:sz w:val="18"/>
                <w:szCs w:val="18"/>
              </w:rPr>
              <w:t>-20</w:t>
            </w:r>
          </w:p>
        </w:tc>
        <w:tc>
          <w:tcPr>
            <w:tcW w:w="824" w:type="dxa"/>
            <w:tcBorders>
              <w:top w:val="nil"/>
              <w:left w:val="nil"/>
              <w:bottom w:val="nil"/>
              <w:right w:val="nil"/>
            </w:tcBorders>
            <w:shd w:val="clear" w:color="000000" w:fill="00FFFF"/>
            <w:vAlign w:val="bottom"/>
            <w:hideMark/>
          </w:tcPr>
          <w:p w:rsidR="003671B8" w:rsidRPr="0042781F" w:rsidRDefault="0072309F" w:rsidP="003671B8">
            <w:pPr>
              <w:jc w:val="center"/>
              <w:rPr>
                <w:rFonts w:ascii="Times New Roman" w:hAnsi="Times New Roman" w:cs="Times New Roman"/>
                <w:b/>
                <w:bCs/>
                <w:sz w:val="18"/>
                <w:szCs w:val="18"/>
              </w:rPr>
            </w:pPr>
            <w:r>
              <w:rPr>
                <w:rFonts w:ascii="Times New Roman" w:hAnsi="Times New Roman" w:cs="Times New Roman"/>
                <w:b/>
                <w:bCs/>
                <w:sz w:val="18"/>
                <w:szCs w:val="18"/>
              </w:rPr>
              <w:t>j</w:t>
            </w:r>
            <w:r w:rsidR="00443B27">
              <w:rPr>
                <w:rFonts w:ascii="Times New Roman" w:hAnsi="Times New Roman" w:cs="Times New Roman"/>
                <w:b/>
                <w:bCs/>
                <w:sz w:val="18"/>
                <w:szCs w:val="18"/>
              </w:rPr>
              <w:t>an</w:t>
            </w:r>
            <w:r>
              <w:rPr>
                <w:rFonts w:ascii="Times New Roman" w:hAnsi="Times New Roman" w:cs="Times New Roman"/>
                <w:b/>
                <w:bCs/>
                <w:sz w:val="18"/>
                <w:szCs w:val="18"/>
              </w:rPr>
              <w:t>v.</w:t>
            </w:r>
            <w:r w:rsidR="00443B27" w:rsidRPr="0042781F">
              <w:rPr>
                <w:rFonts w:ascii="Times New Roman" w:hAnsi="Times New Roman" w:cs="Times New Roman"/>
                <w:b/>
                <w:bCs/>
                <w:sz w:val="18"/>
                <w:szCs w:val="18"/>
              </w:rPr>
              <w:t>-2</w:t>
            </w:r>
            <w:r w:rsidR="00443B27">
              <w:rPr>
                <w:rFonts w:ascii="Times New Roman" w:hAnsi="Times New Roman" w:cs="Times New Roman"/>
                <w:b/>
                <w:bCs/>
                <w:sz w:val="18"/>
                <w:szCs w:val="18"/>
              </w:rPr>
              <w:t>1</w:t>
            </w:r>
          </w:p>
        </w:tc>
        <w:tc>
          <w:tcPr>
            <w:tcW w:w="745"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872" w:type="dxa"/>
            <w:gridSpan w:val="2"/>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725"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644" w:type="dxa"/>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c>
          <w:tcPr>
            <w:tcW w:w="877" w:type="dxa"/>
            <w:gridSpan w:val="3"/>
            <w:vMerge/>
            <w:tcBorders>
              <w:top w:val="nil"/>
              <w:left w:val="nil"/>
              <w:bottom w:val="nil"/>
              <w:right w:val="nil"/>
            </w:tcBorders>
            <w:vAlign w:val="center"/>
            <w:hideMark/>
          </w:tcPr>
          <w:p w:rsidR="003671B8" w:rsidRPr="0042781F" w:rsidRDefault="003671B8" w:rsidP="003671B8">
            <w:pPr>
              <w:rPr>
                <w:rFonts w:ascii="Times New Roman" w:hAnsi="Times New Roman" w:cs="Times New Roman"/>
                <w:b/>
                <w:bCs/>
                <w:sz w:val="18"/>
                <w:szCs w:val="18"/>
              </w:rPr>
            </w:pPr>
          </w:p>
        </w:tc>
      </w:tr>
      <w:tr w:rsidR="00615488" w:rsidRPr="0042781F" w:rsidTr="00443B27">
        <w:trPr>
          <w:gridAfter w:val="1"/>
          <w:wAfter w:w="8" w:type="dxa"/>
          <w:trHeight w:val="495"/>
        </w:trPr>
        <w:tc>
          <w:tcPr>
            <w:tcW w:w="3567" w:type="dxa"/>
            <w:tcBorders>
              <w:top w:val="nil"/>
              <w:left w:val="nil"/>
              <w:bottom w:val="nil"/>
              <w:right w:val="nil"/>
            </w:tcBorders>
            <w:shd w:val="clear" w:color="auto" w:fill="auto"/>
            <w:vAlign w:val="bottom"/>
            <w:hideMark/>
          </w:tcPr>
          <w:p w:rsidR="00615488" w:rsidRPr="0042781F" w:rsidRDefault="00615488" w:rsidP="003671B8">
            <w:pPr>
              <w:rPr>
                <w:rFonts w:ascii="Times New Roman" w:hAnsi="Times New Roman" w:cs="Times New Roman"/>
                <w:b/>
                <w:bCs/>
                <w:sz w:val="18"/>
                <w:szCs w:val="18"/>
              </w:rPr>
            </w:pPr>
            <w:r w:rsidRPr="0042781F">
              <w:rPr>
                <w:rFonts w:ascii="Times New Roman" w:hAnsi="Times New Roman" w:cs="Times New Roman"/>
                <w:b/>
                <w:bCs/>
                <w:sz w:val="18"/>
                <w:szCs w:val="18"/>
              </w:rPr>
              <w:t>INDICE GLOBAL</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10000</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103,7</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102,6</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102,3</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102,3</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103,2</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0,9%</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0,6%</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-0,5%</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1. Produits alimentaires et boissons non alcoolisées</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3751</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102,4</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101,2</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101,2</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101,0</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103,6</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2,6%</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2,4%</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1,2%</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2. Boissons alcoolisées,  Tabac et stupéfiants</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106,8</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106,4</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106,6</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109,0</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107,4</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-1,5%</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0,9%</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0,6%</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3. Articles d'habillement et chaussures</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509</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105,6</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108,7</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108,1</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108,5</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108,3</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-0,2%</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-0,4%</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2,6%</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4. Logement, eau, gaz, électricité et autres combustibles</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1087</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104,2</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97,6</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98,3</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97,7</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97,4</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-0,3%</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-0,2%</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-6,5%</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 xml:space="preserve">5. Meubles, articles de ménage et entretien courant </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222</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106,6</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106,8</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106,5</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107,3</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106,7</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-0,6%</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-0,1%</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0,1%</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6. Santé</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456</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101,9</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102,3</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102,4</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102,3</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102,4</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0,1%</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0,1%</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0,5%</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7. Transports</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1102</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108,3</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107,6</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104,6</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105,1</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105,0</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-0,1%</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-2,4%</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-3,0%</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8. Communication</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442</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99,6</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99,7</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99,5</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99,5</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99,1</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-0,4%</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-0,6%</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-0,5%</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9. Loisirs et culture</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162</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101,5</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102,1</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101,6</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101,9</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101,7</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-0,2%</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-0,4%</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0,2%</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10. Enseignement</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564</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103,0</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102,9</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103,0</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102,7</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103,0</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0,3%</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0,1%</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0,0%</w:t>
            </w:r>
          </w:p>
        </w:tc>
      </w:tr>
      <w:tr w:rsidR="00615488" w:rsidRPr="0042781F" w:rsidTr="00443B27">
        <w:trPr>
          <w:gridAfter w:val="1"/>
          <w:wAfter w:w="8" w:type="dxa"/>
          <w:trHeight w:val="300"/>
        </w:trPr>
        <w:tc>
          <w:tcPr>
            <w:tcW w:w="3567" w:type="dxa"/>
            <w:tcBorders>
              <w:top w:val="nil"/>
              <w:left w:val="nil"/>
              <w:bottom w:val="nil"/>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11. Restaurants et Hôtels</w:t>
            </w:r>
          </w:p>
        </w:tc>
        <w:tc>
          <w:tcPr>
            <w:tcW w:w="590" w:type="dxa"/>
            <w:tcBorders>
              <w:top w:val="nil"/>
              <w:left w:val="nil"/>
              <w:bottom w:val="nil"/>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1156</w:t>
            </w:r>
          </w:p>
        </w:tc>
        <w:tc>
          <w:tcPr>
            <w:tcW w:w="76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103,6</w:t>
            </w:r>
          </w:p>
        </w:tc>
        <w:tc>
          <w:tcPr>
            <w:tcW w:w="780"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102,8</w:t>
            </w:r>
          </w:p>
        </w:tc>
        <w:tc>
          <w:tcPr>
            <w:tcW w:w="824"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102,9</w:t>
            </w:r>
          </w:p>
        </w:tc>
        <w:tc>
          <w:tcPr>
            <w:tcW w:w="745"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102,9</w:t>
            </w:r>
          </w:p>
        </w:tc>
        <w:tc>
          <w:tcPr>
            <w:tcW w:w="842" w:type="dxa"/>
            <w:tcBorders>
              <w:top w:val="nil"/>
              <w:left w:val="nil"/>
              <w:bottom w:val="nil"/>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103,0</w:t>
            </w:r>
          </w:p>
        </w:tc>
        <w:tc>
          <w:tcPr>
            <w:tcW w:w="747" w:type="dxa"/>
            <w:gridSpan w:val="3"/>
            <w:tcBorders>
              <w:top w:val="nil"/>
              <w:left w:val="nil"/>
              <w:bottom w:val="nil"/>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0,1%</w:t>
            </w:r>
          </w:p>
        </w:tc>
        <w:tc>
          <w:tcPr>
            <w:tcW w:w="671" w:type="dxa"/>
            <w:gridSpan w:val="3"/>
            <w:tcBorders>
              <w:top w:val="nil"/>
              <w:left w:val="nil"/>
              <w:bottom w:val="nil"/>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0,2%</w:t>
            </w:r>
          </w:p>
        </w:tc>
        <w:tc>
          <w:tcPr>
            <w:tcW w:w="850" w:type="dxa"/>
            <w:tcBorders>
              <w:top w:val="nil"/>
              <w:left w:val="nil"/>
              <w:bottom w:val="nil"/>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-0,6%</w:t>
            </w:r>
          </w:p>
        </w:tc>
      </w:tr>
      <w:tr w:rsidR="00615488" w:rsidRPr="0042781F" w:rsidTr="00443B27">
        <w:trPr>
          <w:gridAfter w:val="1"/>
          <w:wAfter w:w="8" w:type="dxa"/>
          <w:trHeight w:val="315"/>
        </w:trPr>
        <w:tc>
          <w:tcPr>
            <w:tcW w:w="3567" w:type="dxa"/>
            <w:tcBorders>
              <w:top w:val="nil"/>
              <w:left w:val="nil"/>
              <w:bottom w:val="double" w:sz="6" w:space="0" w:color="auto"/>
              <w:right w:val="nil"/>
            </w:tcBorders>
            <w:shd w:val="clear" w:color="auto" w:fill="auto"/>
            <w:noWrap/>
            <w:vAlign w:val="bottom"/>
            <w:hideMark/>
          </w:tcPr>
          <w:p w:rsidR="00615488" w:rsidRPr="0042781F" w:rsidRDefault="00615488" w:rsidP="003671B8">
            <w:pPr>
              <w:rPr>
                <w:rFonts w:ascii="Times New Roman" w:hAnsi="Times New Roman" w:cs="Times New Roman"/>
                <w:sz w:val="18"/>
                <w:szCs w:val="18"/>
              </w:rPr>
            </w:pPr>
            <w:r w:rsidRPr="0042781F">
              <w:rPr>
                <w:rFonts w:ascii="Times New Roman" w:hAnsi="Times New Roman" w:cs="Times New Roman"/>
                <w:sz w:val="18"/>
                <w:szCs w:val="18"/>
              </w:rPr>
              <w:t>12. Biens et services divers</w:t>
            </w:r>
          </w:p>
        </w:tc>
        <w:tc>
          <w:tcPr>
            <w:tcW w:w="590" w:type="dxa"/>
            <w:tcBorders>
              <w:top w:val="nil"/>
              <w:left w:val="nil"/>
              <w:bottom w:val="double" w:sz="6" w:space="0" w:color="auto"/>
              <w:right w:val="nil"/>
            </w:tcBorders>
            <w:shd w:val="clear" w:color="auto" w:fill="auto"/>
            <w:vAlign w:val="bottom"/>
            <w:hideMark/>
          </w:tcPr>
          <w:p w:rsidR="00615488" w:rsidRPr="0042781F" w:rsidRDefault="00615488" w:rsidP="003671B8">
            <w:pPr>
              <w:jc w:val="right"/>
              <w:rPr>
                <w:rFonts w:ascii="Times New Roman" w:hAnsi="Times New Roman" w:cs="Times New Roman"/>
                <w:b/>
                <w:bCs/>
                <w:sz w:val="18"/>
                <w:szCs w:val="18"/>
              </w:rPr>
            </w:pPr>
            <w:r w:rsidRPr="0042781F">
              <w:rPr>
                <w:rFonts w:ascii="Times New Roman" w:hAnsi="Times New Roman" w:cs="Times New Roman"/>
                <w:b/>
                <w:bCs/>
                <w:sz w:val="18"/>
                <w:szCs w:val="18"/>
              </w:rPr>
              <w:t>493</w:t>
            </w:r>
          </w:p>
        </w:tc>
        <w:tc>
          <w:tcPr>
            <w:tcW w:w="760" w:type="dxa"/>
            <w:tcBorders>
              <w:top w:val="nil"/>
              <w:left w:val="nil"/>
              <w:bottom w:val="double" w:sz="6" w:space="0" w:color="auto"/>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105,9</w:t>
            </w:r>
          </w:p>
        </w:tc>
        <w:tc>
          <w:tcPr>
            <w:tcW w:w="780" w:type="dxa"/>
            <w:tcBorders>
              <w:top w:val="nil"/>
              <w:left w:val="nil"/>
              <w:bottom w:val="double" w:sz="6" w:space="0" w:color="auto"/>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107,5</w:t>
            </w:r>
          </w:p>
        </w:tc>
        <w:tc>
          <w:tcPr>
            <w:tcW w:w="824" w:type="dxa"/>
            <w:tcBorders>
              <w:top w:val="nil"/>
              <w:left w:val="nil"/>
              <w:bottom w:val="double" w:sz="6" w:space="0" w:color="auto"/>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106,7</w:t>
            </w:r>
          </w:p>
        </w:tc>
        <w:tc>
          <w:tcPr>
            <w:tcW w:w="745" w:type="dxa"/>
            <w:tcBorders>
              <w:top w:val="nil"/>
              <w:left w:val="nil"/>
              <w:bottom w:val="double" w:sz="6" w:space="0" w:color="auto"/>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107,3</w:t>
            </w:r>
          </w:p>
        </w:tc>
        <w:tc>
          <w:tcPr>
            <w:tcW w:w="842" w:type="dxa"/>
            <w:tcBorders>
              <w:top w:val="nil"/>
              <w:left w:val="nil"/>
              <w:bottom w:val="double" w:sz="6" w:space="0" w:color="auto"/>
              <w:right w:val="nil"/>
            </w:tcBorders>
            <w:shd w:val="clear" w:color="auto" w:fill="auto"/>
            <w:noWrap/>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106,5</w:t>
            </w:r>
          </w:p>
        </w:tc>
        <w:tc>
          <w:tcPr>
            <w:tcW w:w="747" w:type="dxa"/>
            <w:gridSpan w:val="3"/>
            <w:tcBorders>
              <w:top w:val="nil"/>
              <w:left w:val="nil"/>
              <w:bottom w:val="double" w:sz="6" w:space="0" w:color="auto"/>
              <w:right w:val="nil"/>
            </w:tcBorders>
            <w:shd w:val="clear" w:color="000000" w:fill="CCFFCC"/>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-0,7%</w:t>
            </w:r>
          </w:p>
        </w:tc>
        <w:tc>
          <w:tcPr>
            <w:tcW w:w="671" w:type="dxa"/>
            <w:gridSpan w:val="3"/>
            <w:tcBorders>
              <w:top w:val="nil"/>
              <w:left w:val="nil"/>
              <w:bottom w:val="double" w:sz="6" w:space="0" w:color="auto"/>
              <w:right w:val="nil"/>
            </w:tcBorders>
            <w:shd w:val="clear" w:color="000000" w:fill="99CC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-0,9%</w:t>
            </w:r>
          </w:p>
        </w:tc>
        <w:tc>
          <w:tcPr>
            <w:tcW w:w="850" w:type="dxa"/>
            <w:tcBorders>
              <w:top w:val="nil"/>
              <w:left w:val="nil"/>
              <w:bottom w:val="double" w:sz="6" w:space="0" w:color="auto"/>
              <w:right w:val="nil"/>
            </w:tcBorders>
            <w:shd w:val="clear" w:color="000000" w:fill="CC99FF"/>
            <w:vAlign w:val="bottom"/>
            <w:hideMark/>
          </w:tcPr>
          <w:p w:rsidR="00615488" w:rsidRPr="00615488" w:rsidRDefault="00615488">
            <w:pPr>
              <w:jc w:val="right"/>
              <w:rPr>
                <w:rFonts w:ascii="Times New Roman" w:hAnsi="Times New Roman" w:cs="Times New Roman"/>
                <w:sz w:val="18"/>
                <w:szCs w:val="18"/>
              </w:rPr>
            </w:pPr>
            <w:r w:rsidRPr="00615488">
              <w:rPr>
                <w:rFonts w:ascii="Times New Roman" w:hAnsi="Times New Roman" w:cs="Times New Roman"/>
                <w:sz w:val="18"/>
                <w:szCs w:val="18"/>
              </w:rPr>
              <w:t>0,6%</w:t>
            </w:r>
          </w:p>
        </w:tc>
      </w:tr>
    </w:tbl>
    <w:p w:rsidR="003671B8" w:rsidRPr="0042781F" w:rsidRDefault="003671B8" w:rsidP="00C843F9">
      <w:pPr>
        <w:pStyle w:val="Titre4"/>
        <w:spacing w:before="0"/>
        <w:rPr>
          <w:rFonts w:ascii="Times New Roman" w:hAnsi="Times New Roman"/>
          <w:b w:val="0"/>
          <w:color w:val="auto"/>
          <w:sz w:val="16"/>
          <w:szCs w:val="16"/>
        </w:rPr>
      </w:pPr>
      <w:r w:rsidRPr="0042781F">
        <w:rPr>
          <w:rFonts w:ascii="Times New Roman" w:hAnsi="Times New Roman"/>
          <w:b w:val="0"/>
          <w:color w:val="auto"/>
          <w:sz w:val="16"/>
          <w:szCs w:val="16"/>
          <w:u w:val="single"/>
        </w:rPr>
        <w:t>Source</w:t>
      </w:r>
      <w:r w:rsidRPr="0042781F">
        <w:rPr>
          <w:rFonts w:ascii="Times New Roman" w:hAnsi="Times New Roman"/>
          <w:b w:val="0"/>
          <w:color w:val="auto"/>
          <w:sz w:val="16"/>
          <w:szCs w:val="16"/>
        </w:rPr>
        <w:t xml:space="preserve"> : </w:t>
      </w:r>
      <w:r w:rsidRPr="0042781F">
        <w:rPr>
          <w:rFonts w:ascii="Times New Roman" w:hAnsi="Times New Roman"/>
          <w:b w:val="0"/>
          <w:bCs w:val="0"/>
          <w:color w:val="auto"/>
          <w:sz w:val="16"/>
          <w:szCs w:val="16"/>
        </w:rPr>
        <w:t>DSS/INSAE</w:t>
      </w:r>
      <w:r w:rsidR="000814FF">
        <w:rPr>
          <w:rFonts w:ascii="Times New Roman" w:hAnsi="Times New Roman"/>
          <w:b w:val="0"/>
          <w:color w:val="auto"/>
          <w:sz w:val="16"/>
          <w:szCs w:val="16"/>
        </w:rPr>
        <w:t xml:space="preserve">, mars </w:t>
      </w:r>
      <w:r w:rsidR="0030459A">
        <w:rPr>
          <w:rFonts w:ascii="Times New Roman" w:hAnsi="Times New Roman"/>
          <w:b w:val="0"/>
          <w:color w:val="auto"/>
          <w:sz w:val="16"/>
          <w:szCs w:val="16"/>
        </w:rPr>
        <w:t>2021</w:t>
      </w:r>
    </w:p>
    <w:p w:rsidR="003671B8" w:rsidRPr="0042781F" w:rsidRDefault="003671B8" w:rsidP="003671B8">
      <w:pPr>
        <w:pStyle w:val="Titre4"/>
        <w:spacing w:before="60"/>
        <w:rPr>
          <w:rFonts w:ascii="Times New Roman" w:hAnsi="Times New Roman"/>
          <w:color w:val="auto"/>
          <w:sz w:val="16"/>
          <w:szCs w:val="16"/>
        </w:rPr>
      </w:pPr>
      <w:r w:rsidRPr="0042781F">
        <w:rPr>
          <w:rFonts w:ascii="Times New Roman" w:hAnsi="Times New Roman"/>
          <w:color w:val="auto"/>
          <w:sz w:val="16"/>
          <w:szCs w:val="16"/>
        </w:rPr>
        <w:t>Base 100 : année 2014</w:t>
      </w:r>
    </w:p>
    <w:p w:rsidR="003671B8" w:rsidRPr="0042781F" w:rsidRDefault="003671B8" w:rsidP="003671B8">
      <w:pPr>
        <w:pStyle w:val="Titre5"/>
        <w:spacing w:before="120"/>
        <w:rPr>
          <w:b/>
          <w:color w:val="auto"/>
          <w:sz w:val="23"/>
          <w:szCs w:val="23"/>
        </w:rPr>
      </w:pPr>
      <w:r w:rsidRPr="0042781F">
        <w:rPr>
          <w:rFonts w:ascii="Times New Roman" w:hAnsi="Times New Roman"/>
          <w:b/>
          <w:color w:val="auto"/>
          <w:sz w:val="23"/>
          <w:szCs w:val="23"/>
        </w:rPr>
        <w:t>Tableau 2: Evolution du taux d’inflation</w:t>
      </w:r>
    </w:p>
    <w:tbl>
      <w:tblPr>
        <w:tblW w:w="10068" w:type="dxa"/>
        <w:tblBorders>
          <w:top w:val="double" w:sz="6" w:space="0" w:color="auto"/>
          <w:bottom w:val="double" w:sz="6" w:space="0" w:color="auto"/>
          <w:insideH w:val="single" w:sz="4" w:space="0" w:color="auto"/>
        </w:tblBorders>
        <w:tblCellMar>
          <w:left w:w="70" w:type="dxa"/>
          <w:right w:w="70" w:type="dxa"/>
        </w:tblCellMar>
        <w:tblLook w:val="04A0" w:firstRow="1" w:lastRow="0" w:firstColumn="1" w:lastColumn="0" w:noHBand="0" w:noVBand="1"/>
      </w:tblPr>
      <w:tblGrid>
        <w:gridCol w:w="1238"/>
        <w:gridCol w:w="705"/>
        <w:gridCol w:w="803"/>
        <w:gridCol w:w="658"/>
        <w:gridCol w:w="658"/>
        <w:gridCol w:w="658"/>
        <w:gridCol w:w="749"/>
        <w:gridCol w:w="658"/>
        <w:gridCol w:w="658"/>
        <w:gridCol w:w="612"/>
        <w:gridCol w:w="683"/>
        <w:gridCol w:w="749"/>
        <w:gridCol w:w="583"/>
        <w:gridCol w:w="656"/>
      </w:tblGrid>
      <w:tr w:rsidR="00615488" w:rsidRPr="0042781F" w:rsidTr="0072309F">
        <w:trPr>
          <w:trHeight w:val="137"/>
        </w:trPr>
        <w:tc>
          <w:tcPr>
            <w:tcW w:w="1238" w:type="dxa"/>
            <w:shd w:val="clear" w:color="auto" w:fill="auto"/>
            <w:noWrap/>
            <w:vAlign w:val="bottom"/>
            <w:hideMark/>
          </w:tcPr>
          <w:p w:rsidR="00615488" w:rsidRPr="0042781F" w:rsidRDefault="00615488"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 xml:space="preserve"> Libellé</w:t>
            </w:r>
          </w:p>
        </w:tc>
        <w:tc>
          <w:tcPr>
            <w:tcW w:w="705" w:type="dxa"/>
          </w:tcPr>
          <w:p w:rsidR="00615488" w:rsidRPr="0042781F" w:rsidRDefault="00615488"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mar.-</w:t>
            </w:r>
            <w:r w:rsidRPr="0042781F">
              <w:rPr>
                <w:rFonts w:ascii="Times New Roman" w:hAnsi="Times New Roman" w:cs="Times New Roman"/>
                <w:color w:val="000000"/>
                <w:sz w:val="16"/>
                <w:szCs w:val="16"/>
              </w:rPr>
              <w:t>20</w:t>
            </w:r>
          </w:p>
        </w:tc>
        <w:tc>
          <w:tcPr>
            <w:tcW w:w="803" w:type="dxa"/>
          </w:tcPr>
          <w:p w:rsidR="00615488" w:rsidRPr="0042781F" w:rsidRDefault="0072309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a</w:t>
            </w:r>
            <w:r w:rsidR="00615488" w:rsidRPr="0042781F">
              <w:rPr>
                <w:rFonts w:ascii="Times New Roman" w:hAnsi="Times New Roman" w:cs="Times New Roman"/>
                <w:color w:val="000000"/>
                <w:sz w:val="16"/>
                <w:szCs w:val="16"/>
              </w:rPr>
              <w:t>vril</w:t>
            </w:r>
            <w:r>
              <w:rPr>
                <w:rFonts w:ascii="Times New Roman" w:hAnsi="Times New Roman" w:cs="Times New Roman"/>
                <w:color w:val="000000"/>
                <w:sz w:val="16"/>
                <w:szCs w:val="16"/>
              </w:rPr>
              <w:t>.</w:t>
            </w:r>
            <w:r w:rsidR="00615488" w:rsidRPr="0042781F">
              <w:rPr>
                <w:rFonts w:ascii="Times New Roman" w:hAnsi="Times New Roman" w:cs="Times New Roman"/>
                <w:color w:val="000000"/>
                <w:sz w:val="16"/>
                <w:szCs w:val="16"/>
              </w:rPr>
              <w:t>-20</w:t>
            </w:r>
          </w:p>
        </w:tc>
        <w:tc>
          <w:tcPr>
            <w:tcW w:w="658" w:type="dxa"/>
          </w:tcPr>
          <w:p w:rsidR="00615488" w:rsidRPr="0042781F" w:rsidRDefault="0072309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m</w:t>
            </w:r>
            <w:r w:rsidR="00615488" w:rsidRPr="0042781F">
              <w:rPr>
                <w:rFonts w:ascii="Times New Roman" w:hAnsi="Times New Roman" w:cs="Times New Roman"/>
                <w:color w:val="000000"/>
                <w:sz w:val="16"/>
                <w:szCs w:val="16"/>
              </w:rPr>
              <w:t>ai</w:t>
            </w:r>
            <w:r>
              <w:rPr>
                <w:rFonts w:ascii="Times New Roman" w:hAnsi="Times New Roman" w:cs="Times New Roman"/>
                <w:color w:val="000000"/>
                <w:sz w:val="16"/>
                <w:szCs w:val="16"/>
              </w:rPr>
              <w:t>.</w:t>
            </w:r>
            <w:r w:rsidR="00615488" w:rsidRPr="0042781F">
              <w:rPr>
                <w:rFonts w:ascii="Times New Roman" w:hAnsi="Times New Roman" w:cs="Times New Roman"/>
                <w:color w:val="000000"/>
                <w:sz w:val="16"/>
                <w:szCs w:val="16"/>
              </w:rPr>
              <w:t>-20</w:t>
            </w:r>
          </w:p>
        </w:tc>
        <w:tc>
          <w:tcPr>
            <w:tcW w:w="658" w:type="dxa"/>
          </w:tcPr>
          <w:p w:rsidR="00615488" w:rsidRPr="0042781F" w:rsidRDefault="0072309F" w:rsidP="0072309F">
            <w:pPr>
              <w:rPr>
                <w:rFonts w:ascii="Times New Roman" w:hAnsi="Times New Roman" w:cs="Times New Roman"/>
                <w:color w:val="000000"/>
                <w:sz w:val="16"/>
                <w:szCs w:val="16"/>
              </w:rPr>
            </w:pPr>
            <w:r>
              <w:rPr>
                <w:rFonts w:ascii="Times New Roman" w:hAnsi="Times New Roman" w:cs="Times New Roman"/>
                <w:color w:val="000000"/>
                <w:sz w:val="16"/>
                <w:szCs w:val="16"/>
              </w:rPr>
              <w:t>j</w:t>
            </w:r>
            <w:r w:rsidR="00615488" w:rsidRPr="0042781F">
              <w:rPr>
                <w:rFonts w:ascii="Times New Roman" w:hAnsi="Times New Roman" w:cs="Times New Roman"/>
                <w:color w:val="000000"/>
                <w:sz w:val="16"/>
                <w:szCs w:val="16"/>
              </w:rPr>
              <w:t>uin</w:t>
            </w:r>
            <w:r>
              <w:rPr>
                <w:rFonts w:ascii="Times New Roman" w:hAnsi="Times New Roman" w:cs="Times New Roman"/>
                <w:color w:val="000000"/>
                <w:sz w:val="16"/>
                <w:szCs w:val="16"/>
              </w:rPr>
              <w:t>.</w:t>
            </w:r>
            <w:r w:rsidR="00615488" w:rsidRPr="0042781F">
              <w:rPr>
                <w:rFonts w:ascii="Times New Roman" w:hAnsi="Times New Roman" w:cs="Times New Roman"/>
                <w:color w:val="000000"/>
                <w:sz w:val="16"/>
                <w:szCs w:val="16"/>
              </w:rPr>
              <w:t>-20</w:t>
            </w:r>
          </w:p>
        </w:tc>
        <w:tc>
          <w:tcPr>
            <w:tcW w:w="658" w:type="dxa"/>
          </w:tcPr>
          <w:p w:rsidR="00615488" w:rsidRPr="0042781F" w:rsidRDefault="0061548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juil.-20</w:t>
            </w:r>
          </w:p>
        </w:tc>
        <w:tc>
          <w:tcPr>
            <w:tcW w:w="749" w:type="dxa"/>
          </w:tcPr>
          <w:p w:rsidR="00615488" w:rsidRPr="0042781F" w:rsidRDefault="0072309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a</w:t>
            </w:r>
            <w:r w:rsidR="00615488" w:rsidRPr="0042781F">
              <w:rPr>
                <w:rFonts w:ascii="Times New Roman" w:hAnsi="Times New Roman" w:cs="Times New Roman"/>
                <w:color w:val="000000"/>
                <w:sz w:val="16"/>
                <w:szCs w:val="16"/>
              </w:rPr>
              <w:t>oût</w:t>
            </w:r>
            <w:r>
              <w:rPr>
                <w:rFonts w:ascii="Times New Roman" w:hAnsi="Times New Roman" w:cs="Times New Roman"/>
                <w:color w:val="000000"/>
                <w:sz w:val="16"/>
                <w:szCs w:val="16"/>
              </w:rPr>
              <w:t>.</w:t>
            </w:r>
            <w:r w:rsidR="00615488" w:rsidRPr="0042781F">
              <w:rPr>
                <w:rFonts w:ascii="Times New Roman" w:hAnsi="Times New Roman" w:cs="Times New Roman"/>
                <w:color w:val="000000"/>
                <w:sz w:val="16"/>
                <w:szCs w:val="16"/>
              </w:rPr>
              <w:t>-20</w:t>
            </w:r>
          </w:p>
        </w:tc>
        <w:tc>
          <w:tcPr>
            <w:tcW w:w="658" w:type="dxa"/>
          </w:tcPr>
          <w:p w:rsidR="00615488" w:rsidRPr="0042781F" w:rsidRDefault="0072309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s</w:t>
            </w:r>
            <w:r w:rsidR="00615488" w:rsidRPr="0042781F">
              <w:rPr>
                <w:rFonts w:ascii="Times New Roman" w:hAnsi="Times New Roman" w:cs="Times New Roman"/>
                <w:color w:val="000000"/>
                <w:sz w:val="16"/>
                <w:szCs w:val="16"/>
              </w:rPr>
              <w:t>ept</w:t>
            </w:r>
            <w:r>
              <w:rPr>
                <w:rFonts w:ascii="Times New Roman" w:hAnsi="Times New Roman" w:cs="Times New Roman"/>
                <w:color w:val="000000"/>
                <w:sz w:val="16"/>
                <w:szCs w:val="16"/>
              </w:rPr>
              <w:t>.</w:t>
            </w:r>
            <w:r w:rsidR="00615488" w:rsidRPr="0042781F">
              <w:rPr>
                <w:rFonts w:ascii="Times New Roman" w:hAnsi="Times New Roman" w:cs="Times New Roman"/>
                <w:color w:val="000000"/>
                <w:sz w:val="16"/>
                <w:szCs w:val="16"/>
              </w:rPr>
              <w:t>-20</w:t>
            </w:r>
          </w:p>
        </w:tc>
        <w:tc>
          <w:tcPr>
            <w:tcW w:w="658" w:type="dxa"/>
          </w:tcPr>
          <w:p w:rsidR="00615488" w:rsidRPr="0042781F" w:rsidRDefault="0061548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oct.</w:t>
            </w:r>
            <w:r>
              <w:rPr>
                <w:rFonts w:ascii="Times New Roman" w:hAnsi="Times New Roman" w:cs="Times New Roman"/>
                <w:color w:val="000000"/>
                <w:sz w:val="16"/>
                <w:szCs w:val="16"/>
              </w:rPr>
              <w:t>-</w:t>
            </w:r>
            <w:r w:rsidRPr="0042781F">
              <w:rPr>
                <w:rFonts w:ascii="Times New Roman" w:hAnsi="Times New Roman" w:cs="Times New Roman"/>
                <w:color w:val="000000"/>
                <w:sz w:val="16"/>
                <w:szCs w:val="16"/>
              </w:rPr>
              <w:t>20</w:t>
            </w:r>
          </w:p>
        </w:tc>
        <w:tc>
          <w:tcPr>
            <w:tcW w:w="612" w:type="dxa"/>
          </w:tcPr>
          <w:p w:rsidR="00615488" w:rsidRPr="0042781F" w:rsidRDefault="00615488"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nov.20</w:t>
            </w:r>
          </w:p>
        </w:tc>
        <w:tc>
          <w:tcPr>
            <w:tcW w:w="683" w:type="dxa"/>
          </w:tcPr>
          <w:p w:rsidR="00615488" w:rsidRDefault="00615488"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déc.-20</w:t>
            </w:r>
          </w:p>
        </w:tc>
        <w:tc>
          <w:tcPr>
            <w:tcW w:w="749" w:type="dxa"/>
          </w:tcPr>
          <w:p w:rsidR="00615488" w:rsidRDefault="0072309F"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j</w:t>
            </w:r>
            <w:r w:rsidR="00615488">
              <w:rPr>
                <w:rFonts w:ascii="Times New Roman" w:hAnsi="Times New Roman" w:cs="Times New Roman"/>
                <w:color w:val="000000"/>
                <w:sz w:val="16"/>
                <w:szCs w:val="16"/>
              </w:rPr>
              <w:t>an</w:t>
            </w:r>
            <w:r>
              <w:rPr>
                <w:rFonts w:ascii="Times New Roman" w:hAnsi="Times New Roman" w:cs="Times New Roman"/>
                <w:color w:val="000000"/>
                <w:sz w:val="16"/>
                <w:szCs w:val="16"/>
              </w:rPr>
              <w:t>v.</w:t>
            </w:r>
            <w:r w:rsidR="00615488">
              <w:rPr>
                <w:rFonts w:ascii="Times New Roman" w:hAnsi="Times New Roman" w:cs="Times New Roman"/>
                <w:color w:val="000000"/>
                <w:sz w:val="16"/>
                <w:szCs w:val="16"/>
              </w:rPr>
              <w:t>-21</w:t>
            </w:r>
          </w:p>
        </w:tc>
        <w:tc>
          <w:tcPr>
            <w:tcW w:w="583" w:type="dxa"/>
          </w:tcPr>
          <w:p w:rsidR="00615488" w:rsidRDefault="00615488"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fév.21</w:t>
            </w:r>
          </w:p>
        </w:tc>
        <w:tc>
          <w:tcPr>
            <w:tcW w:w="656" w:type="dxa"/>
          </w:tcPr>
          <w:p w:rsidR="00615488" w:rsidRDefault="00615488"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mar.-21</w:t>
            </w:r>
          </w:p>
        </w:tc>
      </w:tr>
      <w:tr w:rsidR="00615488" w:rsidRPr="0042781F" w:rsidTr="0072309F">
        <w:trPr>
          <w:trHeight w:val="470"/>
        </w:trPr>
        <w:tc>
          <w:tcPr>
            <w:tcW w:w="1238" w:type="dxa"/>
            <w:shd w:val="clear" w:color="auto" w:fill="auto"/>
            <w:noWrap/>
            <w:vAlign w:val="bottom"/>
            <w:hideMark/>
          </w:tcPr>
          <w:p w:rsidR="00615488" w:rsidRPr="0042781F" w:rsidRDefault="00615488" w:rsidP="003671B8">
            <w:pPr>
              <w:rPr>
                <w:rFonts w:ascii="Times New Roman" w:hAnsi="Times New Roman" w:cs="Times New Roman"/>
                <w:color w:val="000000"/>
                <w:sz w:val="16"/>
                <w:szCs w:val="16"/>
              </w:rPr>
            </w:pPr>
            <w:r w:rsidRPr="0042781F">
              <w:rPr>
                <w:rFonts w:ascii="Times New Roman" w:hAnsi="Times New Roman" w:cs="Times New Roman"/>
                <w:color w:val="000000"/>
                <w:sz w:val="16"/>
                <w:szCs w:val="16"/>
              </w:rPr>
              <w:t>Taux d'inflation (en critère de convergence)</w:t>
            </w:r>
          </w:p>
        </w:tc>
        <w:tc>
          <w:tcPr>
            <w:tcW w:w="705" w:type="dxa"/>
            <w:vAlign w:val="bottom"/>
          </w:tcPr>
          <w:p w:rsidR="00615488" w:rsidRPr="0042781F" w:rsidRDefault="0061548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-0,4%</w:t>
            </w:r>
          </w:p>
        </w:tc>
        <w:tc>
          <w:tcPr>
            <w:tcW w:w="803" w:type="dxa"/>
            <w:vAlign w:val="bottom"/>
          </w:tcPr>
          <w:p w:rsidR="00615488" w:rsidRPr="0042781F" w:rsidRDefault="0061548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0,0%</w:t>
            </w:r>
          </w:p>
        </w:tc>
        <w:tc>
          <w:tcPr>
            <w:tcW w:w="658" w:type="dxa"/>
            <w:vAlign w:val="bottom"/>
          </w:tcPr>
          <w:p w:rsidR="00615488" w:rsidRPr="0042781F" w:rsidRDefault="0061548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+0,2%</w:t>
            </w:r>
          </w:p>
        </w:tc>
        <w:tc>
          <w:tcPr>
            <w:tcW w:w="658" w:type="dxa"/>
          </w:tcPr>
          <w:p w:rsidR="00615488" w:rsidRPr="0042781F"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+0,9%</w:t>
            </w:r>
          </w:p>
        </w:tc>
        <w:tc>
          <w:tcPr>
            <w:tcW w:w="658" w:type="dxa"/>
          </w:tcPr>
          <w:p w:rsidR="00615488" w:rsidRPr="0042781F"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+1,4%</w:t>
            </w:r>
          </w:p>
        </w:tc>
        <w:tc>
          <w:tcPr>
            <w:tcW w:w="749" w:type="dxa"/>
          </w:tcPr>
          <w:p w:rsidR="00615488" w:rsidRPr="0042781F"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+2,0%</w:t>
            </w:r>
          </w:p>
        </w:tc>
        <w:tc>
          <w:tcPr>
            <w:tcW w:w="658" w:type="dxa"/>
          </w:tcPr>
          <w:p w:rsidR="00615488" w:rsidRPr="0042781F"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+2,5%</w:t>
            </w:r>
          </w:p>
        </w:tc>
        <w:tc>
          <w:tcPr>
            <w:tcW w:w="658" w:type="dxa"/>
          </w:tcPr>
          <w:p w:rsidR="00615488" w:rsidRPr="0042781F"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r w:rsidRPr="0042781F">
              <w:rPr>
                <w:rFonts w:ascii="Times New Roman" w:hAnsi="Times New Roman" w:cs="Times New Roman"/>
                <w:color w:val="000000"/>
                <w:sz w:val="16"/>
                <w:szCs w:val="16"/>
              </w:rPr>
              <w:t>+2,9%</w:t>
            </w:r>
          </w:p>
        </w:tc>
        <w:tc>
          <w:tcPr>
            <w:tcW w:w="612" w:type="dxa"/>
          </w:tcPr>
          <w:p w:rsidR="00615488" w:rsidRDefault="00615488" w:rsidP="003671B8">
            <w:pPr>
              <w:jc w:val="center"/>
              <w:rPr>
                <w:rFonts w:ascii="Times New Roman" w:hAnsi="Times New Roman" w:cs="Times New Roman"/>
                <w:color w:val="000000"/>
                <w:sz w:val="16"/>
                <w:szCs w:val="16"/>
              </w:rPr>
            </w:pPr>
          </w:p>
          <w:p w:rsidR="00615488" w:rsidRDefault="00615488" w:rsidP="003671B8">
            <w:pPr>
              <w:jc w:val="center"/>
              <w:rPr>
                <w:rFonts w:ascii="Times New Roman" w:hAnsi="Times New Roman" w:cs="Times New Roman"/>
                <w:color w:val="000000"/>
                <w:sz w:val="16"/>
                <w:szCs w:val="16"/>
              </w:rPr>
            </w:pPr>
          </w:p>
          <w:p w:rsidR="00615488" w:rsidRPr="0042781F" w:rsidRDefault="00615488"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683" w:type="dxa"/>
          </w:tcPr>
          <w:p w:rsidR="00615488" w:rsidRDefault="00615488" w:rsidP="003671B8">
            <w:pPr>
              <w:jc w:val="center"/>
              <w:rPr>
                <w:rFonts w:ascii="Times New Roman" w:hAnsi="Times New Roman" w:cs="Times New Roman"/>
                <w:color w:val="000000"/>
                <w:sz w:val="16"/>
                <w:szCs w:val="16"/>
              </w:rPr>
            </w:pPr>
          </w:p>
          <w:p w:rsidR="00615488" w:rsidRDefault="00615488" w:rsidP="003671B8">
            <w:pPr>
              <w:jc w:val="center"/>
              <w:rPr>
                <w:rFonts w:ascii="Times New Roman" w:hAnsi="Times New Roman" w:cs="Times New Roman"/>
                <w:color w:val="000000"/>
                <w:sz w:val="16"/>
                <w:szCs w:val="16"/>
              </w:rPr>
            </w:pPr>
          </w:p>
          <w:p w:rsidR="00615488" w:rsidRDefault="00615488"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749" w:type="dxa"/>
          </w:tcPr>
          <w:p w:rsidR="00615488" w:rsidRDefault="00615488" w:rsidP="003671B8">
            <w:pPr>
              <w:jc w:val="center"/>
              <w:rPr>
                <w:rFonts w:ascii="Times New Roman" w:hAnsi="Times New Roman" w:cs="Times New Roman"/>
                <w:color w:val="000000"/>
                <w:sz w:val="16"/>
                <w:szCs w:val="16"/>
              </w:rPr>
            </w:pPr>
          </w:p>
          <w:p w:rsidR="00615488" w:rsidRDefault="00615488" w:rsidP="003671B8">
            <w:pPr>
              <w:jc w:val="center"/>
              <w:rPr>
                <w:rFonts w:ascii="Times New Roman" w:hAnsi="Times New Roman" w:cs="Times New Roman"/>
                <w:color w:val="000000"/>
                <w:sz w:val="16"/>
                <w:szCs w:val="16"/>
              </w:rPr>
            </w:pPr>
          </w:p>
          <w:p w:rsidR="00615488" w:rsidRDefault="00615488"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+2,9%</w:t>
            </w:r>
          </w:p>
        </w:tc>
        <w:tc>
          <w:tcPr>
            <w:tcW w:w="583" w:type="dxa"/>
          </w:tcPr>
          <w:p w:rsidR="00615488" w:rsidRDefault="00615488" w:rsidP="003671B8">
            <w:pPr>
              <w:jc w:val="center"/>
              <w:rPr>
                <w:rFonts w:ascii="Times New Roman" w:hAnsi="Times New Roman" w:cs="Times New Roman"/>
                <w:color w:val="000000"/>
                <w:sz w:val="16"/>
                <w:szCs w:val="16"/>
              </w:rPr>
            </w:pPr>
          </w:p>
          <w:p w:rsidR="00615488" w:rsidRDefault="00615488" w:rsidP="003671B8">
            <w:pPr>
              <w:jc w:val="center"/>
              <w:rPr>
                <w:rFonts w:ascii="Times New Roman" w:hAnsi="Times New Roman" w:cs="Times New Roman"/>
                <w:color w:val="000000"/>
                <w:sz w:val="16"/>
                <w:szCs w:val="16"/>
              </w:rPr>
            </w:pPr>
          </w:p>
          <w:p w:rsidR="00615488" w:rsidRDefault="00615488"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c>
          <w:tcPr>
            <w:tcW w:w="656" w:type="dxa"/>
          </w:tcPr>
          <w:p w:rsidR="00615488" w:rsidRDefault="00615488" w:rsidP="003671B8">
            <w:pPr>
              <w:jc w:val="center"/>
              <w:rPr>
                <w:rFonts w:ascii="Times New Roman" w:hAnsi="Times New Roman" w:cs="Times New Roman"/>
                <w:color w:val="000000"/>
                <w:sz w:val="16"/>
                <w:szCs w:val="16"/>
              </w:rPr>
            </w:pPr>
          </w:p>
          <w:p w:rsidR="00615488" w:rsidRDefault="00615488" w:rsidP="003671B8">
            <w:pPr>
              <w:jc w:val="center"/>
              <w:rPr>
                <w:rFonts w:ascii="Times New Roman" w:hAnsi="Times New Roman" w:cs="Times New Roman"/>
                <w:color w:val="000000"/>
                <w:sz w:val="16"/>
                <w:szCs w:val="16"/>
              </w:rPr>
            </w:pPr>
          </w:p>
          <w:p w:rsidR="00615488" w:rsidRDefault="00615488" w:rsidP="003671B8">
            <w:pPr>
              <w:jc w:val="center"/>
              <w:rPr>
                <w:rFonts w:ascii="Times New Roman" w:hAnsi="Times New Roman" w:cs="Times New Roman"/>
                <w:color w:val="000000"/>
                <w:sz w:val="16"/>
                <w:szCs w:val="16"/>
              </w:rPr>
            </w:pPr>
            <w:r>
              <w:rPr>
                <w:rFonts w:ascii="Times New Roman" w:hAnsi="Times New Roman" w:cs="Times New Roman"/>
                <w:color w:val="000000"/>
                <w:sz w:val="16"/>
                <w:szCs w:val="16"/>
              </w:rPr>
              <w:t>+2,3%</w:t>
            </w:r>
          </w:p>
        </w:tc>
      </w:tr>
    </w:tbl>
    <w:p w:rsidR="003671B8" w:rsidRDefault="003671B8" w:rsidP="003671B8">
      <w:pPr>
        <w:rPr>
          <w:rFonts w:ascii="Times New Roman" w:eastAsiaTheme="majorEastAsia" w:hAnsi="Times New Roman" w:cstheme="majorBidi"/>
          <w:bCs/>
          <w:i/>
          <w:iCs/>
          <w:sz w:val="16"/>
          <w:szCs w:val="16"/>
        </w:rPr>
      </w:pPr>
      <w:r w:rsidRPr="0042781F">
        <w:rPr>
          <w:rFonts w:ascii="Times New Roman" w:eastAsiaTheme="majorEastAsia" w:hAnsi="Times New Roman" w:cstheme="majorBidi"/>
          <w:bCs/>
          <w:i/>
          <w:iCs/>
          <w:sz w:val="16"/>
          <w:szCs w:val="16"/>
          <w:u w:val="single"/>
        </w:rPr>
        <w:t>Source </w:t>
      </w:r>
      <w:r w:rsidRPr="00E22F01">
        <w:rPr>
          <w:bCs/>
          <w:sz w:val="16"/>
          <w:szCs w:val="16"/>
        </w:rPr>
        <w:t xml:space="preserve">: </w:t>
      </w:r>
      <w:r w:rsidR="006972F4">
        <w:rPr>
          <w:rFonts w:ascii="Times New Roman" w:eastAsiaTheme="majorEastAsia" w:hAnsi="Times New Roman" w:cstheme="majorBidi"/>
          <w:bCs/>
          <w:i/>
          <w:iCs/>
          <w:sz w:val="16"/>
          <w:szCs w:val="16"/>
        </w:rPr>
        <w:t xml:space="preserve">DSS/INSAE, </w:t>
      </w:r>
      <w:r w:rsidR="00EB071D">
        <w:rPr>
          <w:rFonts w:ascii="Times New Roman" w:eastAsiaTheme="majorEastAsia" w:hAnsi="Times New Roman" w:cstheme="majorBidi"/>
          <w:bCs/>
          <w:i/>
          <w:iCs/>
          <w:sz w:val="16"/>
          <w:szCs w:val="16"/>
        </w:rPr>
        <w:t>mars</w:t>
      </w:r>
      <w:r w:rsidRPr="0042781F">
        <w:rPr>
          <w:rFonts w:ascii="Times New Roman" w:eastAsiaTheme="majorEastAsia" w:hAnsi="Times New Roman" w:cstheme="majorBidi"/>
          <w:bCs/>
          <w:i/>
          <w:iCs/>
          <w:sz w:val="16"/>
          <w:szCs w:val="16"/>
        </w:rPr>
        <w:t xml:space="preserve">  202</w:t>
      </w:r>
      <w:r w:rsidR="003C343B">
        <w:rPr>
          <w:rFonts w:ascii="Times New Roman" w:eastAsiaTheme="majorEastAsia" w:hAnsi="Times New Roman" w:cstheme="majorBidi"/>
          <w:bCs/>
          <w:i/>
          <w:iCs/>
          <w:sz w:val="16"/>
          <w:szCs w:val="16"/>
        </w:rPr>
        <w:t>1</w:t>
      </w:r>
    </w:p>
    <w:p w:rsidR="00194F76" w:rsidRDefault="00194F76" w:rsidP="003671B8">
      <w:pPr>
        <w:rPr>
          <w:bCs/>
          <w:sz w:val="16"/>
          <w:szCs w:val="16"/>
        </w:rPr>
      </w:pPr>
    </w:p>
    <w:p w:rsidR="00194F76" w:rsidRDefault="00194F76" w:rsidP="003671B8">
      <w:pPr>
        <w:tabs>
          <w:tab w:val="left" w:pos="1740"/>
        </w:tabs>
        <w:rPr>
          <w:rFonts w:ascii="Times New Roman" w:hAnsi="Times New Roman" w:cs="Times New Roman"/>
          <w:b/>
          <w:bCs/>
          <w:i/>
          <w:iCs/>
          <w:sz w:val="24"/>
          <w:szCs w:val="24"/>
        </w:rPr>
      </w:pPr>
      <w:r w:rsidRPr="0042781F">
        <w:rPr>
          <w:rFonts w:ascii="Times New Roman" w:hAnsi="Times New Roman" w:cs="Times New Roman"/>
          <w:b/>
          <w:bCs/>
          <w:i/>
          <w:iCs/>
          <w:sz w:val="24"/>
          <w:szCs w:val="24"/>
        </w:rPr>
        <w:t>Graphique</w:t>
      </w:r>
      <w:r w:rsidR="00C26A1D">
        <w:rPr>
          <w:rFonts w:ascii="Times New Roman" w:hAnsi="Times New Roman" w:cs="Times New Roman"/>
          <w:b/>
          <w:bCs/>
          <w:i/>
          <w:iCs/>
          <w:sz w:val="24"/>
          <w:szCs w:val="24"/>
        </w:rPr>
        <w:t xml:space="preserve"> 1</w:t>
      </w:r>
      <w:r>
        <w:rPr>
          <w:rFonts w:ascii="Times New Roman" w:hAnsi="Times New Roman" w:cs="Times New Roman"/>
          <w:b/>
          <w:bCs/>
          <w:i/>
          <w:iCs/>
          <w:sz w:val="24"/>
          <w:szCs w:val="24"/>
        </w:rPr>
        <w:t> : Evolution du taux d’inflation en critère de convergence UEMOA</w:t>
      </w:r>
    </w:p>
    <w:p w:rsidR="005810A3" w:rsidRDefault="007A45A1" w:rsidP="003671B8">
      <w:pPr>
        <w:tabs>
          <w:tab w:val="left" w:pos="1740"/>
        </w:tabs>
        <w:rPr>
          <w:b/>
          <w:bCs/>
          <w:i/>
          <w:iCs/>
        </w:rPr>
      </w:pPr>
      <w:r w:rsidRPr="007A45A1">
        <w:rPr>
          <w:b/>
          <w:bCs/>
          <w:i/>
          <w:iCs/>
          <w:noProof/>
          <w:lang w:eastAsia="fr-FR"/>
        </w:rPr>
        <w:drawing>
          <wp:inline distT="0" distB="0" distL="0" distR="0">
            <wp:extent cx="6005830" cy="1653871"/>
            <wp:effectExtent l="19050" t="0" r="13970" b="3479"/>
            <wp:docPr id="6"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75B7" w:rsidRDefault="005810A3" w:rsidP="003671B8">
      <w:pPr>
        <w:tabs>
          <w:tab w:val="left" w:pos="1740"/>
        </w:tabs>
        <w:rPr>
          <w:rFonts w:ascii="Times New Roman" w:hAnsi="Times New Roman" w:cs="Times New Roman"/>
          <w:bCs/>
          <w:sz w:val="16"/>
          <w:szCs w:val="16"/>
        </w:rPr>
      </w:pPr>
      <w:r w:rsidRPr="0042781F">
        <w:rPr>
          <w:rFonts w:ascii="Times New Roman" w:hAnsi="Times New Roman" w:cs="Times New Roman"/>
          <w:bCs/>
          <w:sz w:val="16"/>
          <w:szCs w:val="16"/>
          <w:u w:val="single"/>
        </w:rPr>
        <w:t>Source</w:t>
      </w:r>
      <w:r w:rsidR="000814FF">
        <w:rPr>
          <w:rFonts w:ascii="Times New Roman" w:hAnsi="Times New Roman" w:cs="Times New Roman"/>
          <w:bCs/>
          <w:sz w:val="16"/>
          <w:szCs w:val="16"/>
        </w:rPr>
        <w:t> : DSS/INSAE, mars</w:t>
      </w:r>
      <w:r>
        <w:rPr>
          <w:rFonts w:ascii="Times New Roman" w:hAnsi="Times New Roman" w:cs="Times New Roman"/>
          <w:bCs/>
          <w:sz w:val="16"/>
          <w:szCs w:val="16"/>
        </w:rPr>
        <w:t xml:space="preserve"> 2021</w:t>
      </w:r>
    </w:p>
    <w:p w:rsidR="004D75B7" w:rsidRDefault="004D75B7" w:rsidP="003671B8">
      <w:pPr>
        <w:tabs>
          <w:tab w:val="left" w:pos="1740"/>
        </w:tabs>
        <w:rPr>
          <w:rFonts w:ascii="Times New Roman" w:hAnsi="Times New Roman" w:cs="Times New Roman"/>
          <w:bCs/>
          <w:sz w:val="16"/>
          <w:szCs w:val="16"/>
        </w:rPr>
      </w:pPr>
    </w:p>
    <w:p w:rsidR="00C843F9" w:rsidRDefault="00C843F9" w:rsidP="003671B8">
      <w:pPr>
        <w:tabs>
          <w:tab w:val="left" w:pos="1740"/>
        </w:tabs>
        <w:rPr>
          <w:rFonts w:ascii="Times New Roman" w:hAnsi="Times New Roman" w:cs="Times New Roman"/>
          <w:b/>
          <w:bCs/>
          <w:i/>
          <w:iCs/>
          <w:sz w:val="24"/>
          <w:szCs w:val="24"/>
        </w:rPr>
      </w:pPr>
    </w:p>
    <w:p w:rsidR="003671B8" w:rsidRPr="0042781F" w:rsidRDefault="00C26A1D" w:rsidP="003671B8">
      <w:pPr>
        <w:tabs>
          <w:tab w:val="left" w:pos="1740"/>
        </w:tabs>
        <w:rPr>
          <w:rFonts w:ascii="Times New Roman" w:hAnsi="Times New Roman" w:cs="Times New Roman"/>
          <w:b/>
          <w:bCs/>
          <w:i/>
          <w:iCs/>
          <w:sz w:val="24"/>
          <w:szCs w:val="24"/>
        </w:rPr>
      </w:pPr>
      <w:r>
        <w:rPr>
          <w:rFonts w:ascii="Times New Roman" w:hAnsi="Times New Roman" w:cs="Times New Roman"/>
          <w:b/>
          <w:bCs/>
          <w:i/>
          <w:iCs/>
          <w:sz w:val="24"/>
          <w:szCs w:val="24"/>
        </w:rPr>
        <w:t>Graphique 2</w:t>
      </w:r>
      <w:r w:rsidR="003671B8" w:rsidRPr="0042781F">
        <w:rPr>
          <w:rFonts w:ascii="Times New Roman" w:hAnsi="Times New Roman" w:cs="Times New Roman"/>
          <w:b/>
          <w:bCs/>
          <w:i/>
          <w:iCs/>
          <w:sz w:val="24"/>
          <w:szCs w:val="24"/>
        </w:rPr>
        <w:t> : Evolution de l'indice global et de l'indice hors produits frais et énergétiques</w:t>
      </w:r>
    </w:p>
    <w:p w:rsidR="003671B8" w:rsidRDefault="007A45A1" w:rsidP="003671B8">
      <w:pPr>
        <w:tabs>
          <w:tab w:val="left" w:pos="1740"/>
        </w:tabs>
        <w:rPr>
          <w:b/>
          <w:bCs/>
          <w:i/>
          <w:iCs/>
        </w:rPr>
      </w:pPr>
      <w:r w:rsidRPr="007A45A1">
        <w:rPr>
          <w:b/>
          <w:bCs/>
          <w:i/>
          <w:iCs/>
          <w:noProof/>
          <w:lang w:eastAsia="fr-FR"/>
        </w:rPr>
        <w:drawing>
          <wp:inline distT="0" distB="0" distL="0" distR="0">
            <wp:extent cx="6009640" cy="2469680"/>
            <wp:effectExtent l="19050" t="0" r="10160" b="6820"/>
            <wp:docPr id="8"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71B8" w:rsidRPr="0042781F" w:rsidRDefault="00A50B4A" w:rsidP="003671B8">
      <w:pPr>
        <w:tabs>
          <w:tab w:val="left" w:pos="1740"/>
        </w:tabs>
        <w:rPr>
          <w:rFonts w:ascii="Times New Roman" w:hAnsi="Times New Roman" w:cs="Times New Roman"/>
        </w:rPr>
      </w:pPr>
      <w:r>
        <w:rPr>
          <w:noProof/>
          <w:sz w:val="16"/>
          <w:szCs w:val="16"/>
          <w:u w:val="single"/>
        </w:rPr>
        <w:br w:type="textWrapping" w:clear="all"/>
      </w:r>
      <w:r w:rsidR="003671B8"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0814FF">
        <w:rPr>
          <w:rFonts w:ascii="Times New Roman" w:hAnsi="Times New Roman" w:cs="Times New Roman"/>
          <w:bCs/>
          <w:sz w:val="16"/>
          <w:szCs w:val="16"/>
        </w:rPr>
        <w:t>mars</w:t>
      </w:r>
      <w:r w:rsidR="00053949">
        <w:rPr>
          <w:rFonts w:ascii="Times New Roman" w:hAnsi="Times New Roman" w:cs="Times New Roman"/>
          <w:bCs/>
          <w:sz w:val="16"/>
          <w:szCs w:val="16"/>
        </w:rPr>
        <w:t xml:space="preserve"> 2021</w:t>
      </w:r>
    </w:p>
    <w:p w:rsidR="00C843F9" w:rsidRDefault="00C843F9" w:rsidP="003671B8"/>
    <w:p w:rsidR="003671B8" w:rsidRPr="0042781F" w:rsidRDefault="00C26A1D" w:rsidP="003671B8">
      <w:pPr>
        <w:rPr>
          <w:rFonts w:ascii="Times New Roman" w:hAnsi="Times New Roman" w:cs="Times New Roman"/>
          <w:noProof/>
          <w:sz w:val="24"/>
          <w:szCs w:val="24"/>
        </w:rPr>
      </w:pPr>
      <w:r>
        <w:rPr>
          <w:rFonts w:ascii="Times New Roman" w:hAnsi="Times New Roman" w:cs="Times New Roman"/>
          <w:b/>
          <w:bCs/>
          <w:i/>
          <w:iCs/>
          <w:sz w:val="24"/>
          <w:szCs w:val="24"/>
        </w:rPr>
        <w:t>Graphique 3</w:t>
      </w:r>
      <w:r w:rsidR="003671B8" w:rsidRPr="0042781F">
        <w:rPr>
          <w:rFonts w:ascii="Times New Roman" w:hAnsi="Times New Roman" w:cs="Times New Roman"/>
          <w:b/>
          <w:bCs/>
          <w:i/>
          <w:iCs/>
          <w:sz w:val="24"/>
          <w:szCs w:val="24"/>
        </w:rPr>
        <w:t> : Evolution mensuelle de l'indice global et de l'indice des produits alimentaires</w:t>
      </w:r>
    </w:p>
    <w:p w:rsidR="003671B8" w:rsidRDefault="003671B8" w:rsidP="003671B8">
      <w:pPr>
        <w:rPr>
          <w:noProof/>
          <w:sz w:val="16"/>
          <w:szCs w:val="16"/>
          <w:u w:val="single"/>
        </w:rPr>
      </w:pPr>
    </w:p>
    <w:p w:rsidR="003671B8" w:rsidRDefault="007A45A1" w:rsidP="003671B8">
      <w:pPr>
        <w:rPr>
          <w:noProof/>
          <w:sz w:val="16"/>
          <w:szCs w:val="16"/>
          <w:u w:val="single"/>
        </w:rPr>
      </w:pPr>
      <w:r w:rsidRPr="007A45A1">
        <w:rPr>
          <w:noProof/>
          <w:sz w:val="16"/>
          <w:szCs w:val="16"/>
          <w:u w:val="single"/>
          <w:lang w:eastAsia="fr-FR"/>
        </w:rPr>
        <w:drawing>
          <wp:inline distT="0" distB="0" distL="0" distR="0">
            <wp:extent cx="6005830" cy="2405435"/>
            <wp:effectExtent l="19050" t="0" r="13970" b="0"/>
            <wp:docPr id="9"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71B8" w:rsidRPr="0042781F" w:rsidRDefault="003671B8" w:rsidP="003671B8">
      <w:pPr>
        <w:rPr>
          <w:rFonts w:ascii="Times New Roman" w:hAnsi="Times New Roman" w:cs="Times New Roman"/>
        </w:rPr>
      </w:pPr>
      <w:r w:rsidRPr="0042781F">
        <w:rPr>
          <w:rFonts w:ascii="Times New Roman" w:hAnsi="Times New Roman" w:cs="Times New Roman"/>
          <w:bCs/>
          <w:sz w:val="16"/>
          <w:szCs w:val="16"/>
          <w:u w:val="single"/>
        </w:rPr>
        <w:t>Source</w:t>
      </w:r>
      <w:r w:rsidR="00397D09">
        <w:rPr>
          <w:rFonts w:ascii="Times New Roman" w:hAnsi="Times New Roman" w:cs="Times New Roman"/>
          <w:bCs/>
          <w:sz w:val="16"/>
          <w:szCs w:val="16"/>
        </w:rPr>
        <w:t xml:space="preserve"> : DSS/INSAE, </w:t>
      </w:r>
      <w:r w:rsidR="000814FF">
        <w:rPr>
          <w:rFonts w:ascii="Times New Roman" w:hAnsi="Times New Roman" w:cs="Times New Roman"/>
          <w:bCs/>
          <w:sz w:val="16"/>
          <w:szCs w:val="16"/>
        </w:rPr>
        <w:t>mars</w:t>
      </w:r>
      <w:r w:rsidR="00053949">
        <w:rPr>
          <w:rFonts w:ascii="Times New Roman" w:hAnsi="Times New Roman" w:cs="Times New Roman"/>
          <w:bCs/>
          <w:sz w:val="16"/>
          <w:szCs w:val="16"/>
        </w:rPr>
        <w:t xml:space="preserve"> 2021</w:t>
      </w:r>
    </w:p>
    <w:p w:rsidR="003671B8" w:rsidRDefault="003671B8" w:rsidP="003671B8"/>
    <w:p w:rsidR="003671B8" w:rsidRPr="0042781F" w:rsidRDefault="00C26A1D" w:rsidP="003671B8">
      <w:pPr>
        <w:rPr>
          <w:rFonts w:ascii="Times New Roman" w:hAnsi="Times New Roman" w:cs="Times New Roman"/>
          <w:b/>
          <w:bCs/>
          <w:i/>
          <w:iCs/>
          <w:sz w:val="24"/>
          <w:szCs w:val="24"/>
        </w:rPr>
      </w:pPr>
      <w:r>
        <w:rPr>
          <w:rFonts w:ascii="Times New Roman" w:hAnsi="Times New Roman" w:cs="Times New Roman"/>
          <w:b/>
          <w:bCs/>
          <w:i/>
          <w:iCs/>
          <w:sz w:val="24"/>
          <w:szCs w:val="24"/>
        </w:rPr>
        <w:t>Graphique 4</w:t>
      </w:r>
      <w:r w:rsidR="003671B8" w:rsidRPr="0042781F">
        <w:rPr>
          <w:rFonts w:ascii="Times New Roman" w:hAnsi="Times New Roman" w:cs="Times New Roman"/>
          <w:b/>
          <w:bCs/>
          <w:i/>
          <w:iCs/>
          <w:sz w:val="24"/>
          <w:szCs w:val="24"/>
        </w:rPr>
        <w:t xml:space="preserve"> : Evolution mensuelle des indices du transport et logement, eau, gaz, électricité et autres combustibles </w:t>
      </w:r>
    </w:p>
    <w:p w:rsidR="003671B8" w:rsidRPr="00093522" w:rsidRDefault="003671B8" w:rsidP="003671B8">
      <w:pPr>
        <w:rPr>
          <w:b/>
          <w:bCs/>
          <w:i/>
          <w:iCs/>
          <w:sz w:val="10"/>
          <w:szCs w:val="10"/>
        </w:rPr>
      </w:pPr>
    </w:p>
    <w:p w:rsidR="00B16003" w:rsidRDefault="007A45A1" w:rsidP="003671B8">
      <w:pPr>
        <w:rPr>
          <w:rFonts w:ascii="Times New Roman" w:hAnsi="Times New Roman" w:cs="Times New Roman"/>
          <w:bCs/>
          <w:sz w:val="16"/>
          <w:szCs w:val="16"/>
          <w:u w:val="single"/>
        </w:rPr>
      </w:pPr>
      <w:r w:rsidRPr="007A45A1">
        <w:rPr>
          <w:rFonts w:ascii="Times New Roman" w:hAnsi="Times New Roman" w:cs="Times New Roman"/>
          <w:bCs/>
          <w:noProof/>
          <w:sz w:val="16"/>
          <w:szCs w:val="16"/>
          <w:u w:val="single"/>
          <w:lang w:eastAsia="fr-FR"/>
        </w:rPr>
        <w:drawing>
          <wp:inline distT="0" distB="0" distL="0" distR="0">
            <wp:extent cx="6047740" cy="2447925"/>
            <wp:effectExtent l="0" t="0" r="0" b="0"/>
            <wp:docPr id="10"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71B8" w:rsidRPr="0042781F" w:rsidRDefault="003671B8" w:rsidP="003671B8">
      <w:pPr>
        <w:rPr>
          <w:rFonts w:ascii="Times New Roman" w:hAnsi="Times New Roman" w:cs="Times New Roman"/>
          <w:bCs/>
          <w:sz w:val="16"/>
          <w:szCs w:val="16"/>
        </w:rPr>
      </w:pPr>
      <w:r w:rsidRPr="0042781F">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0814FF">
        <w:rPr>
          <w:rFonts w:ascii="Times New Roman" w:hAnsi="Times New Roman" w:cs="Times New Roman"/>
          <w:bCs/>
          <w:sz w:val="16"/>
          <w:szCs w:val="16"/>
        </w:rPr>
        <w:t>mars</w:t>
      </w:r>
      <w:r w:rsidR="00053949">
        <w:rPr>
          <w:rFonts w:ascii="Times New Roman" w:hAnsi="Times New Roman" w:cs="Times New Roman"/>
          <w:bCs/>
          <w:sz w:val="16"/>
          <w:szCs w:val="16"/>
        </w:rPr>
        <w:t xml:space="preserve"> 2021</w:t>
      </w:r>
    </w:p>
    <w:p w:rsidR="00C843F9" w:rsidRDefault="009A1366" w:rsidP="007A45A1">
      <w:pPr>
        <w:spacing w:after="160" w:line="259" w:lineRule="auto"/>
        <w:rPr>
          <w:rFonts w:ascii="Times New Roman" w:hAnsi="Times New Roman" w:cs="Times New Roman"/>
          <w:b/>
          <w:bCs/>
          <w:i/>
          <w:iCs/>
          <w:sz w:val="24"/>
          <w:szCs w:val="24"/>
        </w:rPr>
      </w:pPr>
      <w:r>
        <w:rPr>
          <w:bCs/>
          <w:sz w:val="16"/>
          <w:szCs w:val="16"/>
        </w:rPr>
        <w:br w:type="page"/>
      </w:r>
      <w:r w:rsidR="007A45A1">
        <w:rPr>
          <w:rFonts w:ascii="Times New Roman" w:hAnsi="Times New Roman" w:cs="Times New Roman"/>
          <w:b/>
          <w:bCs/>
          <w:i/>
          <w:iCs/>
          <w:sz w:val="24"/>
          <w:szCs w:val="24"/>
        </w:rPr>
        <w:lastRenderedPageBreak/>
        <w:t>Graphique</w:t>
      </w:r>
      <w:r w:rsidR="00C26A1D">
        <w:rPr>
          <w:rFonts w:ascii="Times New Roman" w:hAnsi="Times New Roman" w:cs="Times New Roman"/>
          <w:b/>
          <w:bCs/>
          <w:i/>
          <w:iCs/>
          <w:sz w:val="24"/>
          <w:szCs w:val="24"/>
        </w:rPr>
        <w:t xml:space="preserve"> 5</w:t>
      </w:r>
      <w:r w:rsidR="003671B8" w:rsidRPr="0042781F">
        <w:rPr>
          <w:rFonts w:ascii="Times New Roman" w:hAnsi="Times New Roman" w:cs="Times New Roman"/>
          <w:b/>
          <w:bCs/>
          <w:i/>
          <w:iCs/>
          <w:sz w:val="24"/>
          <w:szCs w:val="24"/>
        </w:rPr>
        <w:t> : Evolution mensuelle des indices des produits importés et locaux</w:t>
      </w:r>
    </w:p>
    <w:p w:rsidR="007A45A1" w:rsidRPr="007A45A1" w:rsidRDefault="007A45A1" w:rsidP="007A45A1">
      <w:pPr>
        <w:spacing w:after="160" w:line="259" w:lineRule="auto"/>
        <w:rPr>
          <w:rFonts w:ascii="Times New Roman" w:hAnsi="Times New Roman" w:cs="Times New Roman"/>
          <w:b/>
          <w:bCs/>
          <w:i/>
          <w:iCs/>
          <w:sz w:val="24"/>
          <w:szCs w:val="24"/>
        </w:rPr>
      </w:pPr>
      <w:r w:rsidRPr="007A45A1">
        <w:rPr>
          <w:rFonts w:ascii="Times New Roman" w:hAnsi="Times New Roman" w:cs="Times New Roman"/>
          <w:b/>
          <w:bCs/>
          <w:i/>
          <w:iCs/>
          <w:noProof/>
          <w:sz w:val="24"/>
          <w:szCs w:val="24"/>
          <w:lang w:eastAsia="fr-FR"/>
        </w:rPr>
        <w:drawing>
          <wp:inline distT="0" distB="0" distL="0" distR="0">
            <wp:extent cx="6042411" cy="2178657"/>
            <wp:effectExtent l="19050" t="0" r="15489" b="0"/>
            <wp:docPr id="11"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671B8" w:rsidRDefault="003671B8" w:rsidP="00C843F9">
      <w:pPr>
        <w:rPr>
          <w:rFonts w:ascii="Times New Roman" w:hAnsi="Times New Roman" w:cs="Times New Roman"/>
          <w:bCs/>
          <w:sz w:val="16"/>
          <w:szCs w:val="16"/>
        </w:rPr>
      </w:pPr>
      <w:r w:rsidRPr="0042781F">
        <w:rPr>
          <w:rFonts w:ascii="Times New Roman" w:hAnsi="Times New Roman" w:cs="Times New Roman"/>
          <w:bCs/>
          <w:iCs/>
          <w:sz w:val="16"/>
          <w:szCs w:val="16"/>
          <w:u w:val="single"/>
        </w:rPr>
        <w:t>Source </w:t>
      </w:r>
      <w:r w:rsidRPr="0042781F">
        <w:rPr>
          <w:rFonts w:ascii="Times New Roman" w:hAnsi="Times New Roman" w:cs="Times New Roman"/>
          <w:b/>
          <w:bCs/>
          <w:iCs/>
          <w:sz w:val="16"/>
          <w:szCs w:val="16"/>
        </w:rPr>
        <w:t xml:space="preserve">: </w:t>
      </w:r>
      <w:r w:rsidRPr="0042781F">
        <w:rPr>
          <w:rFonts w:ascii="Times New Roman" w:hAnsi="Times New Roman" w:cs="Times New Roman"/>
          <w:bCs/>
          <w:iCs/>
          <w:sz w:val="16"/>
          <w:szCs w:val="16"/>
        </w:rPr>
        <w:t xml:space="preserve">DSS/INSAE, </w:t>
      </w:r>
      <w:r w:rsidR="000814FF">
        <w:rPr>
          <w:rFonts w:ascii="Times New Roman" w:hAnsi="Times New Roman" w:cs="Times New Roman"/>
          <w:bCs/>
          <w:sz w:val="16"/>
          <w:szCs w:val="16"/>
        </w:rPr>
        <w:t>mars</w:t>
      </w:r>
      <w:r w:rsidR="00053949">
        <w:rPr>
          <w:rFonts w:ascii="Times New Roman" w:hAnsi="Times New Roman" w:cs="Times New Roman"/>
          <w:bCs/>
          <w:sz w:val="16"/>
          <w:szCs w:val="16"/>
        </w:rPr>
        <w:t xml:space="preserve"> 2021</w:t>
      </w:r>
    </w:p>
    <w:p w:rsidR="003671B8" w:rsidRPr="00380E69" w:rsidRDefault="003671B8" w:rsidP="003671B8"/>
    <w:p w:rsidR="003671B8" w:rsidRPr="00380E69" w:rsidRDefault="003671B8" w:rsidP="003671B8"/>
    <w:p w:rsidR="009A1366" w:rsidRPr="00EF65B5" w:rsidRDefault="003671B8" w:rsidP="00EF65B5">
      <w:pPr>
        <w:rPr>
          <w:rFonts w:ascii="Times New Roman" w:hAnsi="Times New Roman" w:cs="Times New Roman"/>
          <w:b/>
          <w:sz w:val="24"/>
          <w:szCs w:val="24"/>
        </w:rPr>
      </w:pPr>
      <w:r w:rsidRPr="00EF65B5">
        <w:rPr>
          <w:rFonts w:ascii="Times New Roman" w:hAnsi="Times New Roman" w:cs="Times New Roman"/>
          <w:b/>
          <w:sz w:val="24"/>
          <w:szCs w:val="24"/>
        </w:rPr>
        <w:t xml:space="preserve">Tableau </w:t>
      </w:r>
      <w:r w:rsidR="009A1366">
        <w:rPr>
          <w:rFonts w:ascii="Times New Roman" w:hAnsi="Times New Roman" w:cs="Times New Roman"/>
          <w:b/>
          <w:sz w:val="24"/>
          <w:szCs w:val="24"/>
        </w:rPr>
        <w:t>2</w:t>
      </w:r>
      <w:r w:rsidRPr="00EF65B5">
        <w:rPr>
          <w:rFonts w:ascii="Times New Roman" w:hAnsi="Times New Roman" w:cs="Times New Roman"/>
          <w:b/>
          <w:sz w:val="24"/>
          <w:szCs w:val="24"/>
        </w:rPr>
        <w:t> : IHPC suivant les nomen</w:t>
      </w:r>
      <w:r w:rsidR="00EA37C7">
        <w:rPr>
          <w:rFonts w:ascii="Times New Roman" w:hAnsi="Times New Roman" w:cs="Times New Roman"/>
          <w:b/>
          <w:sz w:val="24"/>
          <w:szCs w:val="24"/>
        </w:rPr>
        <w:t xml:space="preserve">clatures secondaires en  </w:t>
      </w:r>
      <w:r w:rsidR="000814FF">
        <w:rPr>
          <w:rFonts w:ascii="Times New Roman" w:hAnsi="Times New Roman" w:cs="Times New Roman"/>
          <w:b/>
          <w:sz w:val="24"/>
          <w:szCs w:val="24"/>
        </w:rPr>
        <w:t>mars</w:t>
      </w:r>
      <w:r w:rsidR="00A00B1E">
        <w:rPr>
          <w:rFonts w:ascii="Times New Roman" w:hAnsi="Times New Roman" w:cs="Times New Roman"/>
          <w:b/>
          <w:sz w:val="24"/>
          <w:szCs w:val="24"/>
        </w:rPr>
        <w:t xml:space="preserve"> 2021</w:t>
      </w:r>
    </w:p>
    <w:tbl>
      <w:tblPr>
        <w:tblW w:w="9742" w:type="dxa"/>
        <w:tblInd w:w="70" w:type="dxa"/>
        <w:tblCellMar>
          <w:left w:w="70" w:type="dxa"/>
          <w:right w:w="70" w:type="dxa"/>
        </w:tblCellMar>
        <w:tblLook w:val="04A0" w:firstRow="1" w:lastRow="0" w:firstColumn="1" w:lastColumn="0" w:noHBand="0" w:noVBand="1"/>
      </w:tblPr>
      <w:tblGrid>
        <w:gridCol w:w="2780"/>
        <w:gridCol w:w="691"/>
        <w:gridCol w:w="810"/>
        <w:gridCol w:w="816"/>
        <w:gridCol w:w="860"/>
        <w:gridCol w:w="810"/>
        <w:gridCol w:w="810"/>
        <w:gridCol w:w="675"/>
        <w:gridCol w:w="675"/>
        <w:gridCol w:w="815"/>
      </w:tblGrid>
      <w:tr w:rsidR="007545AB" w:rsidRPr="004577D5" w:rsidTr="003671B8">
        <w:trPr>
          <w:trHeight w:val="315"/>
        </w:trPr>
        <w:tc>
          <w:tcPr>
            <w:tcW w:w="2780" w:type="dxa"/>
            <w:tcBorders>
              <w:top w:val="double" w:sz="6" w:space="0" w:color="auto"/>
              <w:left w:val="nil"/>
              <w:bottom w:val="single" w:sz="4" w:space="0" w:color="auto"/>
              <w:right w:val="nil"/>
            </w:tcBorders>
            <w:shd w:val="clear" w:color="000000" w:fill="00FFFF"/>
            <w:hideMark/>
          </w:tcPr>
          <w:p w:rsidR="007545AB" w:rsidRPr="004577D5" w:rsidRDefault="007545AB" w:rsidP="003671B8">
            <w:pPr>
              <w:rPr>
                <w:rFonts w:ascii="Times New Roman" w:hAnsi="Times New Roman" w:cs="Times New Roman"/>
                <w:sz w:val="18"/>
                <w:szCs w:val="18"/>
              </w:rPr>
            </w:pPr>
            <w:r w:rsidRPr="004577D5">
              <w:rPr>
                <w:rFonts w:ascii="Times New Roman" w:hAnsi="Times New Roman" w:cs="Times New Roman"/>
                <w:sz w:val="18"/>
                <w:szCs w:val="18"/>
              </w:rPr>
              <w:t> </w:t>
            </w:r>
          </w:p>
        </w:tc>
        <w:tc>
          <w:tcPr>
            <w:tcW w:w="691" w:type="dxa"/>
            <w:tcBorders>
              <w:top w:val="double" w:sz="6" w:space="0" w:color="auto"/>
              <w:left w:val="nil"/>
              <w:bottom w:val="single" w:sz="4" w:space="0" w:color="auto"/>
              <w:right w:val="nil"/>
            </w:tcBorders>
            <w:shd w:val="clear" w:color="000000" w:fill="00FFFF"/>
            <w:vAlign w:val="bottom"/>
            <w:hideMark/>
          </w:tcPr>
          <w:p w:rsidR="007545AB" w:rsidRPr="004577D5" w:rsidRDefault="007545AB"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 </w:t>
            </w:r>
          </w:p>
        </w:tc>
        <w:tc>
          <w:tcPr>
            <w:tcW w:w="810" w:type="dxa"/>
            <w:tcBorders>
              <w:top w:val="double" w:sz="6" w:space="0" w:color="auto"/>
              <w:left w:val="nil"/>
              <w:bottom w:val="single" w:sz="4" w:space="0" w:color="auto"/>
              <w:right w:val="nil"/>
            </w:tcBorders>
            <w:shd w:val="clear" w:color="000000" w:fill="00FFFF"/>
            <w:vAlign w:val="bottom"/>
            <w:hideMark/>
          </w:tcPr>
          <w:p w:rsidR="007545AB" w:rsidRPr="004577D5" w:rsidRDefault="007545AB" w:rsidP="003671B8">
            <w:pPr>
              <w:jc w:val="center"/>
              <w:rPr>
                <w:rFonts w:ascii="Times New Roman" w:hAnsi="Times New Roman" w:cs="Times New Roman"/>
                <w:b/>
                <w:bCs/>
                <w:sz w:val="18"/>
                <w:szCs w:val="18"/>
              </w:rPr>
            </w:pPr>
            <w:r>
              <w:rPr>
                <w:rFonts w:ascii="Times New Roman" w:hAnsi="Times New Roman" w:cs="Times New Roman"/>
                <w:b/>
                <w:bCs/>
                <w:sz w:val="18"/>
                <w:szCs w:val="18"/>
              </w:rPr>
              <w:t>mar.-20</w:t>
            </w:r>
          </w:p>
        </w:tc>
        <w:tc>
          <w:tcPr>
            <w:tcW w:w="816" w:type="dxa"/>
            <w:tcBorders>
              <w:top w:val="double" w:sz="6" w:space="0" w:color="auto"/>
              <w:left w:val="nil"/>
              <w:bottom w:val="single" w:sz="4" w:space="0" w:color="auto"/>
              <w:right w:val="nil"/>
            </w:tcBorders>
            <w:shd w:val="clear" w:color="000000" w:fill="00FFFF"/>
            <w:vAlign w:val="bottom"/>
            <w:hideMark/>
          </w:tcPr>
          <w:p w:rsidR="007545AB" w:rsidRPr="004577D5" w:rsidRDefault="007545AB" w:rsidP="005A5C89">
            <w:pPr>
              <w:jc w:val="center"/>
              <w:rPr>
                <w:rFonts w:ascii="Times New Roman" w:hAnsi="Times New Roman" w:cs="Times New Roman"/>
                <w:b/>
                <w:bCs/>
                <w:sz w:val="18"/>
                <w:szCs w:val="18"/>
              </w:rPr>
            </w:pPr>
            <w:r>
              <w:rPr>
                <w:rFonts w:ascii="Times New Roman" w:hAnsi="Times New Roman" w:cs="Times New Roman"/>
                <w:b/>
                <w:bCs/>
                <w:sz w:val="18"/>
                <w:szCs w:val="18"/>
              </w:rPr>
              <w:t>déc.</w:t>
            </w:r>
            <w:r w:rsidRPr="004577D5">
              <w:rPr>
                <w:rFonts w:ascii="Times New Roman" w:hAnsi="Times New Roman" w:cs="Times New Roman"/>
                <w:b/>
                <w:bCs/>
                <w:sz w:val="18"/>
                <w:szCs w:val="18"/>
              </w:rPr>
              <w:t>-20</w:t>
            </w:r>
          </w:p>
        </w:tc>
        <w:tc>
          <w:tcPr>
            <w:tcW w:w="860" w:type="dxa"/>
            <w:tcBorders>
              <w:top w:val="double" w:sz="6" w:space="0" w:color="auto"/>
              <w:left w:val="nil"/>
              <w:bottom w:val="single" w:sz="4" w:space="0" w:color="auto"/>
              <w:right w:val="nil"/>
            </w:tcBorders>
            <w:shd w:val="clear" w:color="000000" w:fill="00FFFF"/>
            <w:vAlign w:val="bottom"/>
            <w:hideMark/>
          </w:tcPr>
          <w:p w:rsidR="007545AB" w:rsidRPr="004577D5" w:rsidRDefault="0072309F" w:rsidP="005A5C89">
            <w:pPr>
              <w:jc w:val="center"/>
              <w:rPr>
                <w:rFonts w:ascii="Times New Roman" w:hAnsi="Times New Roman" w:cs="Times New Roman"/>
                <w:b/>
                <w:bCs/>
                <w:sz w:val="18"/>
                <w:szCs w:val="18"/>
              </w:rPr>
            </w:pPr>
            <w:r>
              <w:rPr>
                <w:rFonts w:ascii="Times New Roman" w:hAnsi="Times New Roman" w:cs="Times New Roman"/>
                <w:b/>
                <w:bCs/>
                <w:sz w:val="18"/>
                <w:szCs w:val="18"/>
              </w:rPr>
              <w:t>j</w:t>
            </w:r>
            <w:r w:rsidR="007545AB">
              <w:rPr>
                <w:rFonts w:ascii="Times New Roman" w:hAnsi="Times New Roman" w:cs="Times New Roman"/>
                <w:b/>
                <w:bCs/>
                <w:sz w:val="18"/>
                <w:szCs w:val="18"/>
              </w:rPr>
              <w:t>an</w:t>
            </w:r>
            <w:r>
              <w:rPr>
                <w:rFonts w:ascii="Times New Roman" w:hAnsi="Times New Roman" w:cs="Times New Roman"/>
                <w:b/>
                <w:bCs/>
                <w:sz w:val="18"/>
                <w:szCs w:val="18"/>
              </w:rPr>
              <w:t>v.</w:t>
            </w:r>
            <w:r w:rsidR="007545AB">
              <w:rPr>
                <w:rFonts w:ascii="Times New Roman" w:hAnsi="Times New Roman" w:cs="Times New Roman"/>
                <w:b/>
                <w:bCs/>
                <w:sz w:val="18"/>
                <w:szCs w:val="18"/>
              </w:rPr>
              <w:t>-21</w:t>
            </w:r>
          </w:p>
        </w:tc>
        <w:tc>
          <w:tcPr>
            <w:tcW w:w="810" w:type="dxa"/>
            <w:tcBorders>
              <w:top w:val="double" w:sz="6" w:space="0" w:color="auto"/>
              <w:left w:val="nil"/>
              <w:bottom w:val="single" w:sz="4" w:space="0" w:color="auto"/>
              <w:right w:val="nil"/>
            </w:tcBorders>
            <w:shd w:val="clear" w:color="000000" w:fill="00FFFF"/>
            <w:vAlign w:val="bottom"/>
            <w:hideMark/>
          </w:tcPr>
          <w:p w:rsidR="007545AB" w:rsidRPr="004577D5" w:rsidRDefault="007545AB" w:rsidP="0081467C">
            <w:pPr>
              <w:jc w:val="center"/>
              <w:rPr>
                <w:rFonts w:ascii="Times New Roman" w:hAnsi="Times New Roman" w:cs="Times New Roman"/>
                <w:b/>
                <w:bCs/>
                <w:sz w:val="18"/>
                <w:szCs w:val="18"/>
              </w:rPr>
            </w:pPr>
            <w:r>
              <w:rPr>
                <w:rFonts w:ascii="Times New Roman" w:hAnsi="Times New Roman" w:cs="Times New Roman"/>
                <w:b/>
                <w:bCs/>
                <w:sz w:val="18"/>
                <w:szCs w:val="18"/>
              </w:rPr>
              <w:t>fév.</w:t>
            </w:r>
            <w:r w:rsidRPr="004577D5">
              <w:rPr>
                <w:rFonts w:ascii="Times New Roman" w:hAnsi="Times New Roman" w:cs="Times New Roman"/>
                <w:b/>
                <w:bCs/>
                <w:sz w:val="18"/>
                <w:szCs w:val="18"/>
              </w:rPr>
              <w:t>-2</w:t>
            </w:r>
            <w:r>
              <w:rPr>
                <w:rFonts w:ascii="Times New Roman" w:hAnsi="Times New Roman" w:cs="Times New Roman"/>
                <w:b/>
                <w:bCs/>
                <w:sz w:val="18"/>
                <w:szCs w:val="18"/>
              </w:rPr>
              <w:t>1</w:t>
            </w:r>
          </w:p>
        </w:tc>
        <w:tc>
          <w:tcPr>
            <w:tcW w:w="810" w:type="dxa"/>
            <w:tcBorders>
              <w:top w:val="double" w:sz="6" w:space="0" w:color="auto"/>
              <w:left w:val="nil"/>
              <w:bottom w:val="single" w:sz="4" w:space="0" w:color="auto"/>
              <w:right w:val="nil"/>
            </w:tcBorders>
            <w:shd w:val="clear" w:color="000000" w:fill="00FFFF"/>
            <w:vAlign w:val="bottom"/>
            <w:hideMark/>
          </w:tcPr>
          <w:p w:rsidR="007545AB" w:rsidRPr="004577D5" w:rsidRDefault="007545AB" w:rsidP="003671B8">
            <w:pPr>
              <w:jc w:val="center"/>
              <w:rPr>
                <w:rFonts w:ascii="Times New Roman" w:hAnsi="Times New Roman" w:cs="Times New Roman"/>
                <w:b/>
                <w:bCs/>
                <w:sz w:val="18"/>
                <w:szCs w:val="18"/>
              </w:rPr>
            </w:pPr>
            <w:r>
              <w:rPr>
                <w:rFonts w:ascii="Times New Roman" w:hAnsi="Times New Roman" w:cs="Times New Roman"/>
                <w:b/>
                <w:bCs/>
                <w:sz w:val="18"/>
                <w:szCs w:val="18"/>
              </w:rPr>
              <w:t>mar.-21</w:t>
            </w:r>
          </w:p>
        </w:tc>
        <w:tc>
          <w:tcPr>
            <w:tcW w:w="675" w:type="dxa"/>
            <w:tcBorders>
              <w:top w:val="double" w:sz="6" w:space="0" w:color="auto"/>
              <w:left w:val="nil"/>
              <w:bottom w:val="single" w:sz="4" w:space="0" w:color="auto"/>
              <w:right w:val="nil"/>
            </w:tcBorders>
            <w:shd w:val="clear" w:color="000000" w:fill="00FFFF"/>
            <w:vAlign w:val="bottom"/>
            <w:hideMark/>
          </w:tcPr>
          <w:p w:rsidR="007545AB" w:rsidRPr="004577D5" w:rsidRDefault="007545AB"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1 mois</w:t>
            </w:r>
          </w:p>
        </w:tc>
        <w:tc>
          <w:tcPr>
            <w:tcW w:w="675" w:type="dxa"/>
            <w:tcBorders>
              <w:top w:val="double" w:sz="6" w:space="0" w:color="auto"/>
              <w:left w:val="nil"/>
              <w:bottom w:val="single" w:sz="4" w:space="0" w:color="auto"/>
              <w:right w:val="nil"/>
            </w:tcBorders>
            <w:shd w:val="clear" w:color="000000" w:fill="00FFFF"/>
            <w:vAlign w:val="bottom"/>
            <w:hideMark/>
          </w:tcPr>
          <w:p w:rsidR="007545AB" w:rsidRPr="004577D5" w:rsidRDefault="007545AB"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3 mois</w:t>
            </w:r>
          </w:p>
        </w:tc>
        <w:tc>
          <w:tcPr>
            <w:tcW w:w="815" w:type="dxa"/>
            <w:tcBorders>
              <w:top w:val="double" w:sz="6" w:space="0" w:color="auto"/>
              <w:left w:val="nil"/>
              <w:bottom w:val="single" w:sz="4" w:space="0" w:color="auto"/>
              <w:right w:val="nil"/>
            </w:tcBorders>
            <w:shd w:val="clear" w:color="000000" w:fill="00FFFF"/>
            <w:vAlign w:val="bottom"/>
            <w:hideMark/>
          </w:tcPr>
          <w:p w:rsidR="007545AB" w:rsidRPr="004577D5" w:rsidRDefault="007545AB" w:rsidP="003671B8">
            <w:pPr>
              <w:jc w:val="center"/>
              <w:rPr>
                <w:rFonts w:ascii="Times New Roman" w:hAnsi="Times New Roman" w:cs="Times New Roman"/>
                <w:b/>
                <w:bCs/>
                <w:sz w:val="18"/>
                <w:szCs w:val="18"/>
              </w:rPr>
            </w:pPr>
            <w:r w:rsidRPr="004577D5">
              <w:rPr>
                <w:rFonts w:ascii="Times New Roman" w:hAnsi="Times New Roman" w:cs="Times New Roman"/>
                <w:b/>
                <w:bCs/>
                <w:sz w:val="18"/>
                <w:szCs w:val="18"/>
              </w:rPr>
              <w:t>12 mois</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global</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10000</w:t>
            </w:r>
          </w:p>
        </w:tc>
        <w:tc>
          <w:tcPr>
            <w:tcW w:w="810" w:type="dxa"/>
            <w:tcBorders>
              <w:top w:val="nil"/>
              <w:left w:val="nil"/>
              <w:bottom w:val="nil"/>
              <w:right w:val="nil"/>
            </w:tcBorders>
            <w:shd w:val="clear" w:color="auto" w:fill="auto"/>
            <w:noWrap/>
            <w:vAlign w:val="bottom"/>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103,7</w:t>
            </w:r>
          </w:p>
        </w:tc>
        <w:tc>
          <w:tcPr>
            <w:tcW w:w="816" w:type="dxa"/>
            <w:tcBorders>
              <w:top w:val="nil"/>
              <w:left w:val="nil"/>
              <w:bottom w:val="nil"/>
              <w:right w:val="nil"/>
            </w:tcBorders>
            <w:shd w:val="clear" w:color="auto" w:fill="auto"/>
            <w:noWrap/>
            <w:vAlign w:val="bottom"/>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102,6</w:t>
            </w:r>
          </w:p>
        </w:tc>
        <w:tc>
          <w:tcPr>
            <w:tcW w:w="860" w:type="dxa"/>
            <w:tcBorders>
              <w:top w:val="nil"/>
              <w:left w:val="nil"/>
              <w:bottom w:val="nil"/>
              <w:right w:val="nil"/>
            </w:tcBorders>
            <w:shd w:val="clear" w:color="auto" w:fill="auto"/>
            <w:noWrap/>
            <w:vAlign w:val="bottom"/>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102,3</w:t>
            </w:r>
          </w:p>
        </w:tc>
        <w:tc>
          <w:tcPr>
            <w:tcW w:w="810" w:type="dxa"/>
            <w:tcBorders>
              <w:top w:val="nil"/>
              <w:left w:val="nil"/>
              <w:bottom w:val="nil"/>
              <w:right w:val="nil"/>
            </w:tcBorders>
            <w:shd w:val="clear" w:color="auto" w:fill="auto"/>
            <w:noWrap/>
            <w:vAlign w:val="bottom"/>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102,3</w:t>
            </w:r>
          </w:p>
        </w:tc>
        <w:tc>
          <w:tcPr>
            <w:tcW w:w="810" w:type="dxa"/>
            <w:tcBorders>
              <w:top w:val="nil"/>
              <w:left w:val="nil"/>
              <w:bottom w:val="nil"/>
              <w:right w:val="nil"/>
            </w:tcBorders>
            <w:shd w:val="clear" w:color="auto" w:fill="auto"/>
            <w:noWrap/>
            <w:vAlign w:val="bottom"/>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103,2</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0,9%</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0,6%</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-0,5%</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frais</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2279</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105,1</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101,3</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100,3</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104,0</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3,7%</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2,0%</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énergie</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1077</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102,5</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92,7</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93,8</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93,6</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93,5</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0,9%</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-8,8%</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hors énergie, hors produits frais</w:t>
            </w:r>
          </w:p>
        </w:tc>
        <w:tc>
          <w:tcPr>
            <w:tcW w:w="691" w:type="dxa"/>
            <w:tcBorders>
              <w:top w:val="nil"/>
              <w:left w:val="nil"/>
              <w:bottom w:val="nil"/>
              <w:right w:val="nil"/>
            </w:tcBorders>
            <w:shd w:val="clear" w:color="auto" w:fill="auto"/>
            <w:noWrap/>
            <w:vAlign w:val="center"/>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6644</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104,0</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105,3</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104,8</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104,6</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104,7</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-0,6%</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0,7%</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primaire</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758</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104,6</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99,9</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98,5</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97,0</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101,2</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4,3%</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1,3%</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-3,3%</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secondaire</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4872</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102,7</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102,5</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102,8</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102,7</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102,8</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0,3%</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0,1%</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secteur tertiaire (services)</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105,3</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105,7</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104,8</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104,6</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104,7</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0,1%</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-0,9%</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-0,6%</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importés</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2743</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102,1</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101,4</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101,3</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101,1</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101,3</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0,2%</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-0,1%</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-0,8%</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produits locaux</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7257</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104,9</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103,9</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103,2</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102,4</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103,8</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1,4%</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-0,1%</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p>
        </w:tc>
        <w:tc>
          <w:tcPr>
            <w:tcW w:w="691"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durables</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125</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103,8</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104,7</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104,4</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107,5</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107,3</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-0,2%</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2,5%</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3,4%</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semi durables</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628</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104,7</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102,7</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102,3</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102,0</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101,8</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-0,2%</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-0,9%</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-2,8%</w:t>
            </w:r>
          </w:p>
        </w:tc>
      </w:tr>
      <w:tr w:rsidR="007545AB" w:rsidRPr="004577D5" w:rsidTr="003671B8">
        <w:trPr>
          <w:trHeight w:val="300"/>
        </w:trPr>
        <w:tc>
          <w:tcPr>
            <w:tcW w:w="2780" w:type="dxa"/>
            <w:tcBorders>
              <w:top w:val="nil"/>
              <w:left w:val="nil"/>
              <w:bottom w:val="nil"/>
              <w:right w:val="nil"/>
            </w:tcBorders>
            <w:shd w:val="clear" w:color="auto" w:fill="auto"/>
            <w:noWrap/>
            <w:vAlign w:val="bottom"/>
            <w:hideMark/>
          </w:tcPr>
          <w:p w:rsidR="007545AB" w:rsidRPr="004577D5" w:rsidRDefault="007545AB" w:rsidP="003671B8">
            <w:pPr>
              <w:rPr>
                <w:rFonts w:ascii="Times New Roman" w:hAnsi="Times New Roman" w:cs="Times New Roman"/>
                <w:color w:val="000000"/>
                <w:sz w:val="18"/>
                <w:szCs w:val="18"/>
              </w:rPr>
            </w:pPr>
            <w:r w:rsidRPr="004577D5">
              <w:rPr>
                <w:rFonts w:ascii="Times New Roman" w:hAnsi="Times New Roman" w:cs="Times New Roman"/>
                <w:color w:val="000000"/>
                <w:sz w:val="18"/>
                <w:szCs w:val="18"/>
              </w:rPr>
              <w:t>Indice des biens non durables</w:t>
            </w:r>
          </w:p>
        </w:tc>
        <w:tc>
          <w:tcPr>
            <w:tcW w:w="691" w:type="dxa"/>
            <w:tcBorders>
              <w:top w:val="nil"/>
              <w:left w:val="nil"/>
              <w:bottom w:val="nil"/>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4877</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103,1</w:t>
            </w:r>
          </w:p>
        </w:tc>
        <w:tc>
          <w:tcPr>
            <w:tcW w:w="816"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101,3</w:t>
            </w:r>
          </w:p>
        </w:tc>
        <w:tc>
          <w:tcPr>
            <w:tcW w:w="86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101,1</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100,4</w:t>
            </w:r>
          </w:p>
        </w:tc>
        <w:tc>
          <w:tcPr>
            <w:tcW w:w="810" w:type="dxa"/>
            <w:tcBorders>
              <w:top w:val="nil"/>
              <w:left w:val="nil"/>
              <w:bottom w:val="nil"/>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102,4</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2,0%</w:t>
            </w:r>
          </w:p>
        </w:tc>
        <w:tc>
          <w:tcPr>
            <w:tcW w:w="67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1,1%</w:t>
            </w:r>
          </w:p>
        </w:tc>
        <w:tc>
          <w:tcPr>
            <w:tcW w:w="815" w:type="dxa"/>
            <w:tcBorders>
              <w:top w:val="nil"/>
              <w:left w:val="nil"/>
              <w:bottom w:val="nil"/>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-0,7%</w:t>
            </w:r>
          </w:p>
        </w:tc>
      </w:tr>
      <w:tr w:rsidR="007545AB" w:rsidRPr="004577D5" w:rsidTr="003671B8">
        <w:trPr>
          <w:trHeight w:val="315"/>
        </w:trPr>
        <w:tc>
          <w:tcPr>
            <w:tcW w:w="2780" w:type="dxa"/>
            <w:tcBorders>
              <w:top w:val="nil"/>
              <w:left w:val="nil"/>
              <w:bottom w:val="double" w:sz="6" w:space="0" w:color="auto"/>
              <w:right w:val="nil"/>
            </w:tcBorders>
            <w:shd w:val="clear" w:color="auto" w:fill="auto"/>
            <w:noWrap/>
            <w:vAlign w:val="bottom"/>
            <w:hideMark/>
          </w:tcPr>
          <w:p w:rsidR="007545AB" w:rsidRPr="004577D5" w:rsidRDefault="007545AB" w:rsidP="003671B8">
            <w:pPr>
              <w:rPr>
                <w:rFonts w:ascii="Times New Roman" w:hAnsi="Times New Roman" w:cs="Times New Roman"/>
                <w:sz w:val="18"/>
                <w:szCs w:val="18"/>
              </w:rPr>
            </w:pPr>
            <w:r w:rsidRPr="004577D5">
              <w:rPr>
                <w:rFonts w:ascii="Times New Roman" w:hAnsi="Times New Roman" w:cs="Times New Roman"/>
                <w:color w:val="000000"/>
                <w:sz w:val="18"/>
                <w:szCs w:val="18"/>
              </w:rPr>
              <w:t>Services</w:t>
            </w:r>
          </w:p>
        </w:tc>
        <w:tc>
          <w:tcPr>
            <w:tcW w:w="691" w:type="dxa"/>
            <w:tcBorders>
              <w:top w:val="nil"/>
              <w:left w:val="nil"/>
              <w:bottom w:val="double" w:sz="6" w:space="0" w:color="auto"/>
              <w:right w:val="nil"/>
            </w:tcBorders>
            <w:shd w:val="clear" w:color="auto" w:fill="auto"/>
            <w:noWrap/>
            <w:vAlign w:val="bottom"/>
            <w:hideMark/>
          </w:tcPr>
          <w:p w:rsidR="007545AB" w:rsidRPr="004577D5" w:rsidRDefault="007545AB" w:rsidP="003671B8">
            <w:pPr>
              <w:jc w:val="right"/>
              <w:rPr>
                <w:rFonts w:ascii="Times New Roman" w:hAnsi="Times New Roman" w:cs="Times New Roman"/>
                <w:color w:val="000000"/>
                <w:sz w:val="18"/>
                <w:szCs w:val="18"/>
              </w:rPr>
            </w:pPr>
            <w:r w:rsidRPr="004577D5">
              <w:rPr>
                <w:rFonts w:ascii="Times New Roman" w:hAnsi="Times New Roman" w:cs="Times New Roman"/>
                <w:color w:val="000000"/>
                <w:sz w:val="18"/>
                <w:szCs w:val="18"/>
              </w:rPr>
              <w:t>4370</w:t>
            </w:r>
          </w:p>
        </w:tc>
        <w:tc>
          <w:tcPr>
            <w:tcW w:w="810" w:type="dxa"/>
            <w:tcBorders>
              <w:top w:val="nil"/>
              <w:left w:val="nil"/>
              <w:bottom w:val="double" w:sz="6" w:space="0" w:color="auto"/>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105,3</w:t>
            </w:r>
          </w:p>
        </w:tc>
        <w:tc>
          <w:tcPr>
            <w:tcW w:w="816" w:type="dxa"/>
            <w:tcBorders>
              <w:top w:val="nil"/>
              <w:left w:val="nil"/>
              <w:bottom w:val="double" w:sz="6" w:space="0" w:color="auto"/>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105,7</w:t>
            </w:r>
          </w:p>
        </w:tc>
        <w:tc>
          <w:tcPr>
            <w:tcW w:w="860" w:type="dxa"/>
            <w:tcBorders>
              <w:top w:val="nil"/>
              <w:left w:val="nil"/>
              <w:bottom w:val="double" w:sz="6" w:space="0" w:color="auto"/>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104,8</w:t>
            </w:r>
          </w:p>
        </w:tc>
        <w:tc>
          <w:tcPr>
            <w:tcW w:w="810" w:type="dxa"/>
            <w:tcBorders>
              <w:top w:val="nil"/>
              <w:left w:val="nil"/>
              <w:bottom w:val="double" w:sz="6" w:space="0" w:color="auto"/>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104,6</w:t>
            </w:r>
          </w:p>
        </w:tc>
        <w:tc>
          <w:tcPr>
            <w:tcW w:w="810" w:type="dxa"/>
            <w:tcBorders>
              <w:top w:val="nil"/>
              <w:left w:val="nil"/>
              <w:bottom w:val="double" w:sz="6" w:space="0" w:color="auto"/>
              <w:right w:val="nil"/>
            </w:tcBorders>
            <w:shd w:val="clear" w:color="auto" w:fill="auto"/>
            <w:noWrap/>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104,7</w:t>
            </w:r>
          </w:p>
        </w:tc>
        <w:tc>
          <w:tcPr>
            <w:tcW w:w="675" w:type="dxa"/>
            <w:tcBorders>
              <w:top w:val="nil"/>
              <w:left w:val="nil"/>
              <w:bottom w:val="double" w:sz="6" w:space="0" w:color="auto"/>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0,1%</w:t>
            </w:r>
          </w:p>
        </w:tc>
        <w:tc>
          <w:tcPr>
            <w:tcW w:w="675" w:type="dxa"/>
            <w:tcBorders>
              <w:top w:val="nil"/>
              <w:left w:val="nil"/>
              <w:bottom w:val="double" w:sz="6" w:space="0" w:color="auto"/>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-0,9%</w:t>
            </w:r>
          </w:p>
        </w:tc>
        <w:tc>
          <w:tcPr>
            <w:tcW w:w="815" w:type="dxa"/>
            <w:tcBorders>
              <w:top w:val="nil"/>
              <w:left w:val="nil"/>
              <w:bottom w:val="double" w:sz="6" w:space="0" w:color="auto"/>
              <w:right w:val="nil"/>
            </w:tcBorders>
            <w:shd w:val="clear" w:color="auto" w:fill="auto"/>
            <w:vAlign w:val="center"/>
            <w:hideMark/>
          </w:tcPr>
          <w:p w:rsidR="007545AB" w:rsidRPr="007545AB" w:rsidRDefault="007545AB">
            <w:pPr>
              <w:jc w:val="right"/>
              <w:rPr>
                <w:rFonts w:ascii="Times New Roman" w:hAnsi="Times New Roman" w:cs="Times New Roman"/>
                <w:sz w:val="18"/>
                <w:szCs w:val="18"/>
              </w:rPr>
            </w:pPr>
            <w:r w:rsidRPr="007545AB">
              <w:rPr>
                <w:rFonts w:ascii="Times New Roman" w:hAnsi="Times New Roman" w:cs="Times New Roman"/>
                <w:sz w:val="18"/>
                <w:szCs w:val="18"/>
              </w:rPr>
              <w:t>-0,6%</w:t>
            </w:r>
          </w:p>
        </w:tc>
      </w:tr>
    </w:tbl>
    <w:p w:rsidR="003671B8" w:rsidRPr="00B54150" w:rsidRDefault="0023290D" w:rsidP="003671B8">
      <w:pPr>
        <w:ind w:left="-851"/>
        <w:rPr>
          <w:rFonts w:ascii="Times New Roman" w:hAnsi="Times New Roman" w:cs="Times New Roman"/>
          <w:bCs/>
          <w:sz w:val="16"/>
          <w:szCs w:val="16"/>
        </w:rPr>
      </w:pPr>
      <w:r w:rsidRPr="0023290D">
        <w:rPr>
          <w:rFonts w:ascii="Times New Roman" w:hAnsi="Times New Roman" w:cs="Times New Roman"/>
          <w:bCs/>
          <w:sz w:val="16"/>
          <w:szCs w:val="16"/>
        </w:rPr>
        <w:t xml:space="preserve">                     </w:t>
      </w:r>
      <w:r w:rsidR="003671B8" w:rsidRPr="00B54150">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0814FF">
        <w:rPr>
          <w:rFonts w:ascii="Times New Roman" w:hAnsi="Times New Roman" w:cs="Times New Roman"/>
          <w:bCs/>
          <w:sz w:val="16"/>
          <w:szCs w:val="16"/>
        </w:rPr>
        <w:t>mars</w:t>
      </w:r>
      <w:r w:rsidR="00A00B1E">
        <w:rPr>
          <w:rFonts w:ascii="Times New Roman" w:hAnsi="Times New Roman" w:cs="Times New Roman"/>
          <w:bCs/>
          <w:sz w:val="16"/>
          <w:szCs w:val="16"/>
        </w:rPr>
        <w:t xml:space="preserve"> 2021</w:t>
      </w:r>
    </w:p>
    <w:p w:rsidR="003671B8" w:rsidRDefault="003671B8" w:rsidP="003671B8">
      <w:pPr>
        <w:ind w:firstLine="708"/>
      </w:pPr>
    </w:p>
    <w:p w:rsidR="003671B8" w:rsidRDefault="003671B8" w:rsidP="003671B8">
      <w:pPr>
        <w:ind w:firstLine="708"/>
      </w:pPr>
    </w:p>
    <w:p w:rsidR="009A1366"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t>Tableau 3</w:t>
      </w:r>
      <w:r w:rsidR="003671B8" w:rsidRPr="00EF65B5">
        <w:rPr>
          <w:rFonts w:ascii="Times New Roman" w:hAnsi="Times New Roman" w:cs="Times New Roman"/>
          <w:b/>
          <w:sz w:val="24"/>
          <w:szCs w:val="24"/>
        </w:rPr>
        <w:t> : IHP</w:t>
      </w:r>
      <w:r w:rsidR="00EA37C7">
        <w:rPr>
          <w:rFonts w:ascii="Times New Roman" w:hAnsi="Times New Roman" w:cs="Times New Roman"/>
          <w:b/>
          <w:sz w:val="24"/>
          <w:szCs w:val="24"/>
        </w:rPr>
        <w:t xml:space="preserve">C suivant les régions en </w:t>
      </w:r>
      <w:r w:rsidR="000814FF">
        <w:rPr>
          <w:rFonts w:ascii="Times New Roman" w:hAnsi="Times New Roman" w:cs="Times New Roman"/>
          <w:b/>
          <w:sz w:val="24"/>
          <w:szCs w:val="24"/>
        </w:rPr>
        <w:t>mars</w:t>
      </w:r>
      <w:r w:rsidR="00A00B1E">
        <w:rPr>
          <w:rFonts w:ascii="Times New Roman" w:hAnsi="Times New Roman" w:cs="Times New Roman"/>
          <w:b/>
          <w:sz w:val="24"/>
          <w:szCs w:val="24"/>
        </w:rPr>
        <w:t xml:space="preserve"> 2021</w:t>
      </w:r>
    </w:p>
    <w:tbl>
      <w:tblPr>
        <w:tblW w:w="8554" w:type="dxa"/>
        <w:tblInd w:w="70" w:type="dxa"/>
        <w:tblCellMar>
          <w:left w:w="70" w:type="dxa"/>
          <w:right w:w="70" w:type="dxa"/>
        </w:tblCellMar>
        <w:tblLook w:val="04A0" w:firstRow="1" w:lastRow="0" w:firstColumn="1" w:lastColumn="0" w:noHBand="0" w:noVBand="1"/>
      </w:tblPr>
      <w:tblGrid>
        <w:gridCol w:w="1536"/>
        <w:gridCol w:w="712"/>
        <w:gridCol w:w="764"/>
        <w:gridCol w:w="860"/>
        <w:gridCol w:w="860"/>
        <w:gridCol w:w="763"/>
        <w:gridCol w:w="763"/>
        <w:gridCol w:w="766"/>
        <w:gridCol w:w="765"/>
        <w:gridCol w:w="765"/>
      </w:tblGrid>
      <w:tr w:rsidR="003671B8" w:rsidRPr="0080208F" w:rsidTr="003671B8">
        <w:trPr>
          <w:trHeight w:val="315"/>
        </w:trPr>
        <w:tc>
          <w:tcPr>
            <w:tcW w:w="1536" w:type="dxa"/>
            <w:tcBorders>
              <w:top w:val="double" w:sz="6" w:space="0" w:color="auto"/>
              <w:left w:val="nil"/>
              <w:bottom w:val="nil"/>
              <w:right w:val="nil"/>
            </w:tcBorders>
            <w:shd w:val="clear" w:color="000000" w:fill="00FFFF"/>
            <w:noWrap/>
            <w:vAlign w:val="bottom"/>
            <w:hideMark/>
          </w:tcPr>
          <w:p w:rsidR="003671B8" w:rsidRPr="0080208F" w:rsidRDefault="003671B8"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val="restart"/>
            <w:tcBorders>
              <w:top w:val="double" w:sz="6" w:space="0" w:color="auto"/>
              <w:left w:val="nil"/>
              <w:bottom w:val="nil"/>
              <w:right w:val="nil"/>
            </w:tcBorders>
            <w:shd w:val="clear" w:color="000000" w:fill="00FFFF"/>
            <w:vAlign w:val="bottom"/>
            <w:hideMark/>
          </w:tcPr>
          <w:p w:rsidR="003671B8" w:rsidRPr="0080208F" w:rsidRDefault="003671B8"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Poids</w:t>
            </w:r>
          </w:p>
        </w:tc>
        <w:tc>
          <w:tcPr>
            <w:tcW w:w="4010" w:type="dxa"/>
            <w:gridSpan w:val="5"/>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Indice des mois de :</w:t>
            </w:r>
          </w:p>
        </w:tc>
        <w:tc>
          <w:tcPr>
            <w:tcW w:w="2296" w:type="dxa"/>
            <w:gridSpan w:val="3"/>
            <w:tcBorders>
              <w:top w:val="double" w:sz="6" w:space="0" w:color="auto"/>
              <w:left w:val="nil"/>
              <w:bottom w:val="nil"/>
              <w:right w:val="nil"/>
            </w:tcBorders>
            <w:shd w:val="clear" w:color="000000" w:fill="00FFFF"/>
            <w:noWrap/>
            <w:vAlign w:val="bottom"/>
            <w:hideMark/>
          </w:tcPr>
          <w:p w:rsidR="003671B8" w:rsidRPr="0080208F" w:rsidRDefault="003671B8" w:rsidP="003671B8">
            <w:pPr>
              <w:jc w:val="center"/>
              <w:rPr>
                <w:rFonts w:ascii="Times New Roman" w:hAnsi="Times New Roman" w:cs="Times New Roman"/>
                <w:sz w:val="18"/>
                <w:szCs w:val="18"/>
              </w:rPr>
            </w:pPr>
            <w:r w:rsidRPr="0080208F">
              <w:rPr>
                <w:rFonts w:ascii="Times New Roman" w:hAnsi="Times New Roman" w:cs="Times New Roman"/>
                <w:sz w:val="18"/>
                <w:szCs w:val="18"/>
              </w:rPr>
              <w:t>Variation depuis :</w:t>
            </w:r>
          </w:p>
        </w:tc>
      </w:tr>
      <w:tr w:rsidR="00C41D2B" w:rsidRPr="0080208F" w:rsidTr="003671B8">
        <w:trPr>
          <w:trHeight w:val="300"/>
        </w:trPr>
        <w:tc>
          <w:tcPr>
            <w:tcW w:w="1536" w:type="dxa"/>
            <w:vMerge w:val="restart"/>
            <w:tcBorders>
              <w:top w:val="nil"/>
              <w:left w:val="nil"/>
              <w:bottom w:val="nil"/>
              <w:right w:val="nil"/>
            </w:tcBorders>
            <w:shd w:val="clear" w:color="000000" w:fill="00FFFF"/>
            <w:hideMark/>
          </w:tcPr>
          <w:p w:rsidR="00C41D2B" w:rsidRPr="0080208F" w:rsidRDefault="00C41D2B" w:rsidP="003671B8">
            <w:pPr>
              <w:rPr>
                <w:rFonts w:ascii="Times New Roman" w:hAnsi="Times New Roman" w:cs="Times New Roman"/>
                <w:sz w:val="18"/>
                <w:szCs w:val="18"/>
                <w:highlight w:val="cyan"/>
              </w:rPr>
            </w:pPr>
            <w:r w:rsidRPr="0080208F">
              <w:rPr>
                <w:rFonts w:ascii="Times New Roman" w:hAnsi="Times New Roman" w:cs="Times New Roman"/>
                <w:sz w:val="18"/>
                <w:szCs w:val="18"/>
                <w:highlight w:val="cyan"/>
              </w:rPr>
              <w:t> </w:t>
            </w:r>
          </w:p>
        </w:tc>
        <w:tc>
          <w:tcPr>
            <w:tcW w:w="712" w:type="dxa"/>
            <w:vMerge/>
            <w:tcBorders>
              <w:top w:val="double" w:sz="6" w:space="0" w:color="auto"/>
              <w:left w:val="nil"/>
              <w:bottom w:val="nil"/>
              <w:right w:val="nil"/>
            </w:tcBorders>
            <w:vAlign w:val="center"/>
            <w:hideMark/>
          </w:tcPr>
          <w:p w:rsidR="00C41D2B" w:rsidRPr="0080208F" w:rsidRDefault="00C41D2B" w:rsidP="003671B8">
            <w:pPr>
              <w:rPr>
                <w:rFonts w:ascii="Times New Roman" w:hAnsi="Times New Roman" w:cs="Times New Roman"/>
                <w:b/>
                <w:bCs/>
                <w:sz w:val="18"/>
                <w:szCs w:val="18"/>
              </w:rPr>
            </w:pPr>
          </w:p>
        </w:tc>
        <w:tc>
          <w:tcPr>
            <w:tcW w:w="764" w:type="dxa"/>
            <w:vMerge w:val="restart"/>
            <w:tcBorders>
              <w:top w:val="nil"/>
              <w:left w:val="nil"/>
              <w:bottom w:val="nil"/>
              <w:right w:val="nil"/>
            </w:tcBorders>
            <w:shd w:val="clear" w:color="000000" w:fill="00FFFF"/>
            <w:vAlign w:val="bottom"/>
            <w:hideMark/>
          </w:tcPr>
          <w:p w:rsidR="00C41D2B" w:rsidRPr="0080208F" w:rsidRDefault="00C41D2B" w:rsidP="003671B8">
            <w:pPr>
              <w:rPr>
                <w:rFonts w:ascii="Times New Roman" w:hAnsi="Times New Roman" w:cs="Times New Roman"/>
                <w:b/>
                <w:bCs/>
                <w:sz w:val="18"/>
                <w:szCs w:val="18"/>
              </w:rPr>
            </w:pPr>
            <w:r>
              <w:rPr>
                <w:rFonts w:ascii="Times New Roman" w:hAnsi="Times New Roman" w:cs="Times New Roman"/>
                <w:b/>
                <w:bCs/>
                <w:sz w:val="18"/>
                <w:szCs w:val="18"/>
              </w:rPr>
              <w:t>mar.-20</w:t>
            </w:r>
          </w:p>
        </w:tc>
        <w:tc>
          <w:tcPr>
            <w:tcW w:w="860" w:type="dxa"/>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860" w:type="dxa"/>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 </w:t>
            </w:r>
          </w:p>
        </w:tc>
        <w:tc>
          <w:tcPr>
            <w:tcW w:w="763" w:type="dxa"/>
            <w:vMerge w:val="restart"/>
            <w:tcBorders>
              <w:top w:val="nil"/>
              <w:left w:val="nil"/>
              <w:bottom w:val="nil"/>
              <w:right w:val="nil"/>
            </w:tcBorders>
            <w:shd w:val="clear" w:color="000000" w:fill="00FFFF"/>
            <w:vAlign w:val="bottom"/>
            <w:hideMark/>
          </w:tcPr>
          <w:p w:rsidR="00C41D2B" w:rsidRPr="004577D5" w:rsidRDefault="00C41D2B" w:rsidP="005A5C89">
            <w:pPr>
              <w:jc w:val="center"/>
              <w:rPr>
                <w:rFonts w:ascii="Times New Roman" w:hAnsi="Times New Roman" w:cs="Times New Roman"/>
                <w:b/>
                <w:bCs/>
                <w:sz w:val="18"/>
                <w:szCs w:val="18"/>
              </w:rPr>
            </w:pPr>
            <w:r>
              <w:rPr>
                <w:rFonts w:ascii="Times New Roman" w:hAnsi="Times New Roman" w:cs="Times New Roman"/>
                <w:b/>
                <w:bCs/>
                <w:sz w:val="18"/>
                <w:szCs w:val="18"/>
              </w:rPr>
              <w:t>fév.</w:t>
            </w:r>
            <w:r w:rsidRPr="004577D5">
              <w:rPr>
                <w:rFonts w:ascii="Times New Roman" w:hAnsi="Times New Roman" w:cs="Times New Roman"/>
                <w:b/>
                <w:bCs/>
                <w:sz w:val="18"/>
                <w:szCs w:val="18"/>
              </w:rPr>
              <w:t>-2</w:t>
            </w:r>
            <w:r>
              <w:rPr>
                <w:rFonts w:ascii="Times New Roman" w:hAnsi="Times New Roman" w:cs="Times New Roman"/>
                <w:b/>
                <w:bCs/>
                <w:sz w:val="18"/>
                <w:szCs w:val="18"/>
              </w:rPr>
              <w:t>1</w:t>
            </w:r>
          </w:p>
        </w:tc>
        <w:tc>
          <w:tcPr>
            <w:tcW w:w="763" w:type="dxa"/>
            <w:vMerge w:val="restart"/>
            <w:tcBorders>
              <w:top w:val="nil"/>
              <w:left w:val="nil"/>
              <w:bottom w:val="nil"/>
              <w:right w:val="nil"/>
            </w:tcBorders>
            <w:shd w:val="clear" w:color="000000" w:fill="00FFFF"/>
            <w:vAlign w:val="bottom"/>
            <w:hideMark/>
          </w:tcPr>
          <w:p w:rsidR="00C41D2B" w:rsidRPr="004577D5" w:rsidRDefault="00C41D2B" w:rsidP="005A5C89">
            <w:pPr>
              <w:jc w:val="center"/>
              <w:rPr>
                <w:rFonts w:ascii="Times New Roman" w:hAnsi="Times New Roman" w:cs="Times New Roman"/>
                <w:b/>
                <w:bCs/>
                <w:sz w:val="18"/>
                <w:szCs w:val="18"/>
              </w:rPr>
            </w:pPr>
            <w:r>
              <w:rPr>
                <w:rFonts w:ascii="Times New Roman" w:hAnsi="Times New Roman" w:cs="Times New Roman"/>
                <w:b/>
                <w:bCs/>
                <w:sz w:val="18"/>
                <w:szCs w:val="18"/>
              </w:rPr>
              <w:t>mar.-21</w:t>
            </w:r>
          </w:p>
        </w:tc>
        <w:tc>
          <w:tcPr>
            <w:tcW w:w="766" w:type="dxa"/>
            <w:vMerge w:val="restart"/>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 mois</w:t>
            </w:r>
          </w:p>
        </w:tc>
        <w:tc>
          <w:tcPr>
            <w:tcW w:w="765" w:type="dxa"/>
            <w:vMerge w:val="restart"/>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3 mois</w:t>
            </w:r>
          </w:p>
        </w:tc>
        <w:tc>
          <w:tcPr>
            <w:tcW w:w="765" w:type="dxa"/>
            <w:vMerge w:val="restart"/>
            <w:tcBorders>
              <w:top w:val="nil"/>
              <w:left w:val="nil"/>
              <w:bottom w:val="nil"/>
              <w:right w:val="nil"/>
            </w:tcBorders>
            <w:shd w:val="clear" w:color="000000" w:fill="00FFFF"/>
            <w:vAlign w:val="bottom"/>
            <w:hideMark/>
          </w:tcPr>
          <w:p w:rsidR="00C41D2B" w:rsidRPr="0080208F" w:rsidRDefault="00C41D2B" w:rsidP="003671B8">
            <w:pPr>
              <w:jc w:val="center"/>
              <w:rPr>
                <w:rFonts w:ascii="Times New Roman" w:hAnsi="Times New Roman" w:cs="Times New Roman"/>
                <w:b/>
                <w:bCs/>
                <w:sz w:val="18"/>
                <w:szCs w:val="18"/>
              </w:rPr>
            </w:pPr>
            <w:r w:rsidRPr="0080208F">
              <w:rPr>
                <w:rFonts w:ascii="Times New Roman" w:hAnsi="Times New Roman" w:cs="Times New Roman"/>
                <w:b/>
                <w:bCs/>
                <w:sz w:val="18"/>
                <w:szCs w:val="18"/>
              </w:rPr>
              <w:t>12 mois</w:t>
            </w:r>
          </w:p>
        </w:tc>
      </w:tr>
      <w:tr w:rsidR="00C41D2B" w:rsidRPr="0080208F" w:rsidTr="003671B8">
        <w:trPr>
          <w:trHeight w:val="300"/>
        </w:trPr>
        <w:tc>
          <w:tcPr>
            <w:tcW w:w="1536" w:type="dxa"/>
            <w:vMerge/>
            <w:tcBorders>
              <w:top w:val="nil"/>
              <w:left w:val="nil"/>
              <w:bottom w:val="nil"/>
              <w:right w:val="nil"/>
            </w:tcBorders>
            <w:vAlign w:val="center"/>
            <w:hideMark/>
          </w:tcPr>
          <w:p w:rsidR="00C41D2B" w:rsidRPr="0080208F" w:rsidRDefault="00C41D2B" w:rsidP="003671B8">
            <w:pPr>
              <w:rPr>
                <w:rFonts w:ascii="Times New Roman" w:hAnsi="Times New Roman" w:cs="Times New Roman"/>
                <w:sz w:val="18"/>
                <w:szCs w:val="18"/>
              </w:rPr>
            </w:pPr>
          </w:p>
        </w:tc>
        <w:tc>
          <w:tcPr>
            <w:tcW w:w="712" w:type="dxa"/>
            <w:vMerge/>
            <w:tcBorders>
              <w:top w:val="double" w:sz="6" w:space="0" w:color="auto"/>
              <w:left w:val="nil"/>
              <w:bottom w:val="nil"/>
              <w:right w:val="nil"/>
            </w:tcBorders>
            <w:vAlign w:val="center"/>
            <w:hideMark/>
          </w:tcPr>
          <w:p w:rsidR="00C41D2B" w:rsidRPr="0080208F" w:rsidRDefault="00C41D2B" w:rsidP="003671B8">
            <w:pPr>
              <w:rPr>
                <w:rFonts w:ascii="Times New Roman" w:hAnsi="Times New Roman" w:cs="Times New Roman"/>
                <w:b/>
                <w:bCs/>
                <w:sz w:val="18"/>
                <w:szCs w:val="18"/>
              </w:rPr>
            </w:pPr>
          </w:p>
        </w:tc>
        <w:tc>
          <w:tcPr>
            <w:tcW w:w="764" w:type="dxa"/>
            <w:vMerge/>
            <w:tcBorders>
              <w:top w:val="nil"/>
              <w:left w:val="nil"/>
              <w:bottom w:val="nil"/>
              <w:right w:val="nil"/>
            </w:tcBorders>
            <w:vAlign w:val="bottom"/>
            <w:hideMark/>
          </w:tcPr>
          <w:p w:rsidR="00C41D2B" w:rsidRPr="0080208F" w:rsidRDefault="00C41D2B" w:rsidP="003671B8">
            <w:pPr>
              <w:rPr>
                <w:rFonts w:ascii="Times New Roman" w:hAnsi="Times New Roman" w:cs="Times New Roman"/>
                <w:b/>
                <w:bCs/>
                <w:sz w:val="18"/>
                <w:szCs w:val="18"/>
              </w:rPr>
            </w:pPr>
          </w:p>
        </w:tc>
        <w:tc>
          <w:tcPr>
            <w:tcW w:w="860" w:type="dxa"/>
            <w:tcBorders>
              <w:top w:val="nil"/>
              <w:left w:val="nil"/>
              <w:bottom w:val="nil"/>
              <w:right w:val="nil"/>
            </w:tcBorders>
            <w:shd w:val="clear" w:color="000000" w:fill="00FFFF"/>
            <w:vAlign w:val="bottom"/>
            <w:hideMark/>
          </w:tcPr>
          <w:p w:rsidR="00C41D2B" w:rsidRPr="0080208F" w:rsidRDefault="00C41D2B" w:rsidP="005A5C89">
            <w:pPr>
              <w:jc w:val="center"/>
              <w:rPr>
                <w:rFonts w:ascii="Times New Roman" w:hAnsi="Times New Roman" w:cs="Times New Roman"/>
                <w:b/>
                <w:bCs/>
                <w:sz w:val="18"/>
                <w:szCs w:val="18"/>
              </w:rPr>
            </w:pPr>
            <w:r>
              <w:rPr>
                <w:rFonts w:ascii="Times New Roman" w:hAnsi="Times New Roman" w:cs="Times New Roman"/>
                <w:b/>
                <w:bCs/>
                <w:sz w:val="18"/>
                <w:szCs w:val="18"/>
              </w:rPr>
              <w:t>déc</w:t>
            </w:r>
            <w:r w:rsidRPr="0080208F">
              <w:rPr>
                <w:rFonts w:ascii="Times New Roman" w:hAnsi="Times New Roman" w:cs="Times New Roman"/>
                <w:b/>
                <w:bCs/>
                <w:sz w:val="18"/>
                <w:szCs w:val="18"/>
              </w:rPr>
              <w:t>.-20</w:t>
            </w:r>
          </w:p>
        </w:tc>
        <w:tc>
          <w:tcPr>
            <w:tcW w:w="860" w:type="dxa"/>
            <w:tcBorders>
              <w:top w:val="nil"/>
              <w:left w:val="nil"/>
              <w:bottom w:val="nil"/>
              <w:right w:val="nil"/>
            </w:tcBorders>
            <w:shd w:val="clear" w:color="000000" w:fill="00FFFF"/>
            <w:vAlign w:val="bottom"/>
            <w:hideMark/>
          </w:tcPr>
          <w:p w:rsidR="00C41D2B" w:rsidRPr="0080208F" w:rsidRDefault="0072309F" w:rsidP="005A5C89">
            <w:pPr>
              <w:jc w:val="center"/>
              <w:rPr>
                <w:rFonts w:ascii="Times New Roman" w:hAnsi="Times New Roman" w:cs="Times New Roman"/>
                <w:b/>
                <w:bCs/>
                <w:sz w:val="18"/>
                <w:szCs w:val="18"/>
              </w:rPr>
            </w:pPr>
            <w:r>
              <w:rPr>
                <w:rFonts w:ascii="Times New Roman" w:hAnsi="Times New Roman" w:cs="Times New Roman"/>
                <w:b/>
                <w:bCs/>
                <w:sz w:val="18"/>
                <w:szCs w:val="18"/>
              </w:rPr>
              <w:t>j</w:t>
            </w:r>
            <w:r w:rsidR="00C41D2B">
              <w:rPr>
                <w:rFonts w:ascii="Times New Roman" w:hAnsi="Times New Roman" w:cs="Times New Roman"/>
                <w:b/>
                <w:bCs/>
                <w:sz w:val="18"/>
                <w:szCs w:val="18"/>
              </w:rPr>
              <w:t>an</w:t>
            </w:r>
            <w:r>
              <w:rPr>
                <w:rFonts w:ascii="Times New Roman" w:hAnsi="Times New Roman" w:cs="Times New Roman"/>
                <w:b/>
                <w:bCs/>
                <w:sz w:val="18"/>
                <w:szCs w:val="18"/>
              </w:rPr>
              <w:t>v.</w:t>
            </w:r>
            <w:r w:rsidR="00C41D2B">
              <w:rPr>
                <w:rFonts w:ascii="Times New Roman" w:hAnsi="Times New Roman" w:cs="Times New Roman"/>
                <w:b/>
                <w:bCs/>
                <w:sz w:val="18"/>
                <w:szCs w:val="18"/>
              </w:rPr>
              <w:t>-21</w:t>
            </w:r>
          </w:p>
        </w:tc>
        <w:tc>
          <w:tcPr>
            <w:tcW w:w="763" w:type="dxa"/>
            <w:vMerge/>
            <w:tcBorders>
              <w:top w:val="nil"/>
              <w:left w:val="nil"/>
              <w:bottom w:val="nil"/>
              <w:right w:val="nil"/>
            </w:tcBorders>
            <w:vAlign w:val="center"/>
            <w:hideMark/>
          </w:tcPr>
          <w:p w:rsidR="00C41D2B" w:rsidRPr="0080208F" w:rsidRDefault="00C41D2B" w:rsidP="003671B8">
            <w:pPr>
              <w:rPr>
                <w:rFonts w:ascii="Times New Roman" w:hAnsi="Times New Roman" w:cs="Times New Roman"/>
                <w:b/>
                <w:bCs/>
                <w:sz w:val="18"/>
                <w:szCs w:val="18"/>
              </w:rPr>
            </w:pPr>
          </w:p>
        </w:tc>
        <w:tc>
          <w:tcPr>
            <w:tcW w:w="763" w:type="dxa"/>
            <w:vMerge/>
            <w:tcBorders>
              <w:top w:val="nil"/>
              <w:left w:val="nil"/>
              <w:bottom w:val="nil"/>
              <w:right w:val="nil"/>
            </w:tcBorders>
            <w:vAlign w:val="center"/>
            <w:hideMark/>
          </w:tcPr>
          <w:p w:rsidR="00C41D2B" w:rsidRPr="0080208F" w:rsidRDefault="00C41D2B" w:rsidP="003671B8">
            <w:pPr>
              <w:rPr>
                <w:rFonts w:ascii="Times New Roman" w:hAnsi="Times New Roman" w:cs="Times New Roman"/>
                <w:b/>
                <w:bCs/>
                <w:sz w:val="18"/>
                <w:szCs w:val="18"/>
              </w:rPr>
            </w:pPr>
          </w:p>
        </w:tc>
        <w:tc>
          <w:tcPr>
            <w:tcW w:w="766" w:type="dxa"/>
            <w:vMerge/>
            <w:tcBorders>
              <w:top w:val="nil"/>
              <w:left w:val="nil"/>
              <w:bottom w:val="nil"/>
              <w:right w:val="nil"/>
            </w:tcBorders>
            <w:vAlign w:val="center"/>
            <w:hideMark/>
          </w:tcPr>
          <w:p w:rsidR="00C41D2B" w:rsidRPr="0080208F" w:rsidRDefault="00C41D2B"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C41D2B" w:rsidRPr="0080208F" w:rsidRDefault="00C41D2B" w:rsidP="003671B8">
            <w:pPr>
              <w:rPr>
                <w:rFonts w:ascii="Times New Roman" w:hAnsi="Times New Roman" w:cs="Times New Roman"/>
                <w:b/>
                <w:bCs/>
                <w:sz w:val="18"/>
                <w:szCs w:val="18"/>
              </w:rPr>
            </w:pPr>
          </w:p>
        </w:tc>
        <w:tc>
          <w:tcPr>
            <w:tcW w:w="765" w:type="dxa"/>
            <w:vMerge/>
            <w:tcBorders>
              <w:top w:val="nil"/>
              <w:left w:val="nil"/>
              <w:bottom w:val="nil"/>
              <w:right w:val="nil"/>
            </w:tcBorders>
            <w:vAlign w:val="center"/>
            <w:hideMark/>
          </w:tcPr>
          <w:p w:rsidR="00C41D2B" w:rsidRPr="0080208F" w:rsidRDefault="00C41D2B" w:rsidP="003671B8">
            <w:pPr>
              <w:rPr>
                <w:rFonts w:ascii="Times New Roman" w:hAnsi="Times New Roman" w:cs="Times New Roman"/>
                <w:b/>
                <w:bCs/>
                <w:sz w:val="18"/>
                <w:szCs w:val="18"/>
              </w:rPr>
            </w:pPr>
          </w:p>
        </w:tc>
      </w:tr>
      <w:tr w:rsidR="00C41D2B" w:rsidRPr="0080208F" w:rsidTr="003671B8">
        <w:trPr>
          <w:trHeight w:val="300"/>
        </w:trPr>
        <w:tc>
          <w:tcPr>
            <w:tcW w:w="1536" w:type="dxa"/>
            <w:tcBorders>
              <w:top w:val="nil"/>
              <w:left w:val="nil"/>
              <w:bottom w:val="nil"/>
              <w:right w:val="nil"/>
            </w:tcBorders>
            <w:shd w:val="clear" w:color="auto" w:fill="auto"/>
            <w:vAlign w:val="bottom"/>
            <w:hideMark/>
          </w:tcPr>
          <w:p w:rsidR="00C41D2B" w:rsidRPr="0080208F" w:rsidRDefault="00C41D2B" w:rsidP="003671B8">
            <w:pPr>
              <w:rPr>
                <w:rFonts w:ascii="Times New Roman" w:hAnsi="Times New Roman" w:cs="Times New Roman"/>
                <w:b/>
                <w:bCs/>
                <w:sz w:val="18"/>
                <w:szCs w:val="18"/>
              </w:rPr>
            </w:pPr>
            <w:r w:rsidRPr="0080208F">
              <w:rPr>
                <w:rFonts w:ascii="Times New Roman" w:hAnsi="Times New Roman" w:cs="Times New Roman"/>
                <w:b/>
                <w:bCs/>
                <w:sz w:val="18"/>
                <w:szCs w:val="18"/>
              </w:rPr>
              <w:t>INDICE GLOBAL</w:t>
            </w:r>
          </w:p>
        </w:tc>
        <w:tc>
          <w:tcPr>
            <w:tcW w:w="712" w:type="dxa"/>
            <w:tcBorders>
              <w:top w:val="nil"/>
              <w:left w:val="nil"/>
              <w:bottom w:val="nil"/>
              <w:right w:val="nil"/>
            </w:tcBorders>
            <w:shd w:val="clear" w:color="auto" w:fill="auto"/>
            <w:vAlign w:val="bottom"/>
            <w:hideMark/>
          </w:tcPr>
          <w:p w:rsidR="00C41D2B" w:rsidRPr="0080208F" w:rsidRDefault="00C41D2B"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100</w:t>
            </w:r>
          </w:p>
        </w:tc>
        <w:tc>
          <w:tcPr>
            <w:tcW w:w="764"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103,7</w:t>
            </w:r>
          </w:p>
        </w:tc>
        <w:tc>
          <w:tcPr>
            <w:tcW w:w="860"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102,6</w:t>
            </w:r>
          </w:p>
        </w:tc>
        <w:tc>
          <w:tcPr>
            <w:tcW w:w="860"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102,3</w:t>
            </w:r>
          </w:p>
        </w:tc>
        <w:tc>
          <w:tcPr>
            <w:tcW w:w="763"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102,3</w:t>
            </w:r>
          </w:p>
        </w:tc>
        <w:tc>
          <w:tcPr>
            <w:tcW w:w="763"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103,2</w:t>
            </w:r>
          </w:p>
        </w:tc>
        <w:tc>
          <w:tcPr>
            <w:tcW w:w="766" w:type="dxa"/>
            <w:tcBorders>
              <w:top w:val="nil"/>
              <w:left w:val="nil"/>
              <w:bottom w:val="nil"/>
              <w:right w:val="nil"/>
            </w:tcBorders>
            <w:shd w:val="clear" w:color="000000" w:fill="CCFFCC"/>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0,9%</w:t>
            </w:r>
          </w:p>
        </w:tc>
        <w:tc>
          <w:tcPr>
            <w:tcW w:w="765" w:type="dxa"/>
            <w:tcBorders>
              <w:top w:val="nil"/>
              <w:left w:val="nil"/>
              <w:bottom w:val="nil"/>
              <w:right w:val="nil"/>
            </w:tcBorders>
            <w:shd w:val="clear" w:color="000000" w:fill="99CC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0,6%</w:t>
            </w:r>
          </w:p>
        </w:tc>
        <w:tc>
          <w:tcPr>
            <w:tcW w:w="765" w:type="dxa"/>
            <w:tcBorders>
              <w:top w:val="nil"/>
              <w:left w:val="nil"/>
              <w:bottom w:val="nil"/>
              <w:right w:val="nil"/>
            </w:tcBorders>
            <w:shd w:val="clear" w:color="000000" w:fill="CC99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-0,5%</w:t>
            </w:r>
          </w:p>
        </w:tc>
      </w:tr>
      <w:tr w:rsidR="00C41D2B" w:rsidRPr="0080208F" w:rsidTr="003671B8">
        <w:trPr>
          <w:trHeight w:val="300"/>
        </w:trPr>
        <w:tc>
          <w:tcPr>
            <w:tcW w:w="1536" w:type="dxa"/>
            <w:tcBorders>
              <w:top w:val="nil"/>
              <w:left w:val="nil"/>
              <w:bottom w:val="nil"/>
              <w:right w:val="nil"/>
            </w:tcBorders>
            <w:shd w:val="clear" w:color="auto" w:fill="auto"/>
            <w:noWrap/>
            <w:vAlign w:val="bottom"/>
            <w:hideMark/>
          </w:tcPr>
          <w:p w:rsidR="00C41D2B" w:rsidRPr="0080208F" w:rsidRDefault="00C41D2B" w:rsidP="003671B8">
            <w:pPr>
              <w:rPr>
                <w:rFonts w:ascii="Times New Roman" w:hAnsi="Times New Roman" w:cs="Times New Roman"/>
                <w:sz w:val="18"/>
                <w:szCs w:val="18"/>
              </w:rPr>
            </w:pPr>
            <w:r w:rsidRPr="0080208F">
              <w:rPr>
                <w:rFonts w:ascii="Times New Roman" w:hAnsi="Times New Roman" w:cs="Times New Roman"/>
                <w:sz w:val="18"/>
                <w:szCs w:val="18"/>
              </w:rPr>
              <w:t xml:space="preserve">1. </w:t>
            </w:r>
            <w:proofErr w:type="spellStart"/>
            <w:r w:rsidRPr="0080208F">
              <w:rPr>
                <w:rFonts w:ascii="Times New Roman" w:hAnsi="Times New Roman" w:cs="Times New Roman"/>
                <w:sz w:val="18"/>
                <w:szCs w:val="18"/>
              </w:rPr>
              <w:t>Sud ouest</w:t>
            </w:r>
            <w:proofErr w:type="spellEnd"/>
          </w:p>
        </w:tc>
        <w:tc>
          <w:tcPr>
            <w:tcW w:w="712" w:type="dxa"/>
            <w:tcBorders>
              <w:top w:val="nil"/>
              <w:left w:val="nil"/>
              <w:bottom w:val="nil"/>
              <w:right w:val="nil"/>
            </w:tcBorders>
            <w:shd w:val="clear" w:color="auto" w:fill="auto"/>
            <w:vAlign w:val="bottom"/>
            <w:hideMark/>
          </w:tcPr>
          <w:p w:rsidR="00C41D2B" w:rsidRPr="0080208F" w:rsidRDefault="00C41D2B"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53</w:t>
            </w:r>
          </w:p>
        </w:tc>
        <w:tc>
          <w:tcPr>
            <w:tcW w:w="764"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103,9</w:t>
            </w:r>
          </w:p>
        </w:tc>
        <w:tc>
          <w:tcPr>
            <w:tcW w:w="860"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104,7</w:t>
            </w:r>
          </w:p>
        </w:tc>
        <w:tc>
          <w:tcPr>
            <w:tcW w:w="860"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103,9</w:t>
            </w:r>
          </w:p>
        </w:tc>
        <w:tc>
          <w:tcPr>
            <w:tcW w:w="763"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103,7</w:t>
            </w:r>
          </w:p>
        </w:tc>
        <w:tc>
          <w:tcPr>
            <w:tcW w:w="763"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104,2</w:t>
            </w:r>
          </w:p>
        </w:tc>
        <w:tc>
          <w:tcPr>
            <w:tcW w:w="766" w:type="dxa"/>
            <w:tcBorders>
              <w:top w:val="nil"/>
              <w:left w:val="nil"/>
              <w:bottom w:val="nil"/>
              <w:right w:val="nil"/>
            </w:tcBorders>
            <w:shd w:val="clear" w:color="000000" w:fill="CCFFCC"/>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0,5%</w:t>
            </w:r>
          </w:p>
        </w:tc>
        <w:tc>
          <w:tcPr>
            <w:tcW w:w="765" w:type="dxa"/>
            <w:tcBorders>
              <w:top w:val="nil"/>
              <w:left w:val="nil"/>
              <w:bottom w:val="nil"/>
              <w:right w:val="nil"/>
            </w:tcBorders>
            <w:shd w:val="clear" w:color="000000" w:fill="99CC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-0,5%</w:t>
            </w:r>
          </w:p>
        </w:tc>
        <w:tc>
          <w:tcPr>
            <w:tcW w:w="765" w:type="dxa"/>
            <w:tcBorders>
              <w:top w:val="nil"/>
              <w:left w:val="nil"/>
              <w:bottom w:val="nil"/>
              <w:right w:val="nil"/>
            </w:tcBorders>
            <w:shd w:val="clear" w:color="000000" w:fill="CC99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0,3%</w:t>
            </w:r>
          </w:p>
        </w:tc>
      </w:tr>
      <w:tr w:rsidR="00C41D2B" w:rsidRPr="0080208F" w:rsidTr="003671B8">
        <w:trPr>
          <w:trHeight w:val="300"/>
        </w:trPr>
        <w:tc>
          <w:tcPr>
            <w:tcW w:w="1536" w:type="dxa"/>
            <w:tcBorders>
              <w:top w:val="nil"/>
              <w:left w:val="nil"/>
              <w:bottom w:val="nil"/>
              <w:right w:val="nil"/>
            </w:tcBorders>
            <w:shd w:val="clear" w:color="auto" w:fill="auto"/>
            <w:noWrap/>
            <w:vAlign w:val="bottom"/>
            <w:hideMark/>
          </w:tcPr>
          <w:p w:rsidR="00C41D2B" w:rsidRPr="0080208F" w:rsidRDefault="00C41D2B" w:rsidP="003671B8">
            <w:pPr>
              <w:rPr>
                <w:rFonts w:ascii="Times New Roman" w:hAnsi="Times New Roman" w:cs="Times New Roman"/>
                <w:sz w:val="18"/>
                <w:szCs w:val="18"/>
              </w:rPr>
            </w:pPr>
            <w:r w:rsidRPr="0080208F">
              <w:rPr>
                <w:rFonts w:ascii="Times New Roman" w:hAnsi="Times New Roman" w:cs="Times New Roman"/>
                <w:sz w:val="18"/>
                <w:szCs w:val="18"/>
              </w:rPr>
              <w:t>2. Sud est</w:t>
            </w:r>
          </w:p>
        </w:tc>
        <w:tc>
          <w:tcPr>
            <w:tcW w:w="712" w:type="dxa"/>
            <w:tcBorders>
              <w:top w:val="nil"/>
              <w:left w:val="nil"/>
              <w:bottom w:val="nil"/>
              <w:right w:val="nil"/>
            </w:tcBorders>
            <w:shd w:val="clear" w:color="auto" w:fill="auto"/>
            <w:vAlign w:val="bottom"/>
            <w:hideMark/>
          </w:tcPr>
          <w:p w:rsidR="00C41D2B" w:rsidRPr="0080208F" w:rsidRDefault="00C41D2B"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22</w:t>
            </w:r>
          </w:p>
        </w:tc>
        <w:tc>
          <w:tcPr>
            <w:tcW w:w="764"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101,8</w:t>
            </w:r>
          </w:p>
        </w:tc>
        <w:tc>
          <w:tcPr>
            <w:tcW w:w="860"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99,7</w:t>
            </w:r>
          </w:p>
        </w:tc>
        <w:tc>
          <w:tcPr>
            <w:tcW w:w="860"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100,1</w:t>
            </w:r>
          </w:p>
        </w:tc>
        <w:tc>
          <w:tcPr>
            <w:tcW w:w="763"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99,8</w:t>
            </w:r>
          </w:p>
        </w:tc>
        <w:tc>
          <w:tcPr>
            <w:tcW w:w="763"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100,9</w:t>
            </w:r>
          </w:p>
        </w:tc>
        <w:tc>
          <w:tcPr>
            <w:tcW w:w="766" w:type="dxa"/>
            <w:tcBorders>
              <w:top w:val="nil"/>
              <w:left w:val="nil"/>
              <w:bottom w:val="nil"/>
              <w:right w:val="nil"/>
            </w:tcBorders>
            <w:shd w:val="clear" w:color="000000" w:fill="CCFFCC"/>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1,1%</w:t>
            </w:r>
          </w:p>
        </w:tc>
        <w:tc>
          <w:tcPr>
            <w:tcW w:w="765" w:type="dxa"/>
            <w:tcBorders>
              <w:top w:val="nil"/>
              <w:left w:val="nil"/>
              <w:bottom w:val="nil"/>
              <w:right w:val="nil"/>
            </w:tcBorders>
            <w:shd w:val="clear" w:color="000000" w:fill="99CC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1,2%</w:t>
            </w:r>
          </w:p>
        </w:tc>
        <w:tc>
          <w:tcPr>
            <w:tcW w:w="765" w:type="dxa"/>
            <w:tcBorders>
              <w:top w:val="nil"/>
              <w:left w:val="nil"/>
              <w:bottom w:val="nil"/>
              <w:right w:val="nil"/>
            </w:tcBorders>
            <w:shd w:val="clear" w:color="000000" w:fill="CC99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-0,9%</w:t>
            </w:r>
          </w:p>
        </w:tc>
      </w:tr>
      <w:tr w:rsidR="00C41D2B" w:rsidRPr="0080208F" w:rsidTr="003671B8">
        <w:trPr>
          <w:trHeight w:val="300"/>
        </w:trPr>
        <w:tc>
          <w:tcPr>
            <w:tcW w:w="1536" w:type="dxa"/>
            <w:tcBorders>
              <w:top w:val="nil"/>
              <w:left w:val="nil"/>
              <w:bottom w:val="nil"/>
              <w:right w:val="nil"/>
            </w:tcBorders>
            <w:shd w:val="clear" w:color="auto" w:fill="auto"/>
            <w:noWrap/>
            <w:vAlign w:val="bottom"/>
            <w:hideMark/>
          </w:tcPr>
          <w:p w:rsidR="00C41D2B" w:rsidRPr="0080208F" w:rsidRDefault="00C41D2B" w:rsidP="003671B8">
            <w:pPr>
              <w:rPr>
                <w:rFonts w:ascii="Times New Roman" w:hAnsi="Times New Roman" w:cs="Times New Roman"/>
                <w:sz w:val="18"/>
                <w:szCs w:val="18"/>
              </w:rPr>
            </w:pPr>
            <w:r w:rsidRPr="0080208F">
              <w:rPr>
                <w:rFonts w:ascii="Times New Roman" w:hAnsi="Times New Roman" w:cs="Times New Roman"/>
                <w:sz w:val="18"/>
                <w:szCs w:val="18"/>
              </w:rPr>
              <w:t>3. Centre</w:t>
            </w:r>
          </w:p>
        </w:tc>
        <w:tc>
          <w:tcPr>
            <w:tcW w:w="712" w:type="dxa"/>
            <w:tcBorders>
              <w:top w:val="nil"/>
              <w:left w:val="nil"/>
              <w:bottom w:val="nil"/>
              <w:right w:val="nil"/>
            </w:tcBorders>
            <w:shd w:val="clear" w:color="auto" w:fill="auto"/>
            <w:vAlign w:val="bottom"/>
            <w:hideMark/>
          </w:tcPr>
          <w:p w:rsidR="00C41D2B" w:rsidRPr="0080208F" w:rsidRDefault="00C41D2B"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10</w:t>
            </w:r>
          </w:p>
        </w:tc>
        <w:tc>
          <w:tcPr>
            <w:tcW w:w="764"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101,8</w:t>
            </w:r>
          </w:p>
        </w:tc>
        <w:tc>
          <w:tcPr>
            <w:tcW w:w="860"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99,6</w:t>
            </w:r>
          </w:p>
        </w:tc>
        <w:tc>
          <w:tcPr>
            <w:tcW w:w="860"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99,4</w:t>
            </w:r>
          </w:p>
        </w:tc>
        <w:tc>
          <w:tcPr>
            <w:tcW w:w="763"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99,3</w:t>
            </w:r>
          </w:p>
        </w:tc>
        <w:tc>
          <w:tcPr>
            <w:tcW w:w="763"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101,9</w:t>
            </w:r>
          </w:p>
        </w:tc>
        <w:tc>
          <w:tcPr>
            <w:tcW w:w="766" w:type="dxa"/>
            <w:tcBorders>
              <w:top w:val="nil"/>
              <w:left w:val="nil"/>
              <w:bottom w:val="nil"/>
              <w:right w:val="nil"/>
            </w:tcBorders>
            <w:shd w:val="clear" w:color="000000" w:fill="CCFFCC"/>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2,6%</w:t>
            </w:r>
          </w:p>
        </w:tc>
        <w:tc>
          <w:tcPr>
            <w:tcW w:w="765" w:type="dxa"/>
            <w:tcBorders>
              <w:top w:val="nil"/>
              <w:left w:val="nil"/>
              <w:bottom w:val="nil"/>
              <w:right w:val="nil"/>
            </w:tcBorders>
            <w:shd w:val="clear" w:color="000000" w:fill="99CC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2,3%</w:t>
            </w:r>
          </w:p>
        </w:tc>
        <w:tc>
          <w:tcPr>
            <w:tcW w:w="765" w:type="dxa"/>
            <w:tcBorders>
              <w:top w:val="nil"/>
              <w:left w:val="nil"/>
              <w:bottom w:val="nil"/>
              <w:right w:val="nil"/>
            </w:tcBorders>
            <w:shd w:val="clear" w:color="000000" w:fill="CC99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0,1%</w:t>
            </w:r>
          </w:p>
        </w:tc>
      </w:tr>
      <w:tr w:rsidR="00C41D2B" w:rsidRPr="0080208F" w:rsidTr="003671B8">
        <w:trPr>
          <w:trHeight w:val="300"/>
        </w:trPr>
        <w:tc>
          <w:tcPr>
            <w:tcW w:w="1536" w:type="dxa"/>
            <w:tcBorders>
              <w:top w:val="nil"/>
              <w:left w:val="nil"/>
              <w:bottom w:val="nil"/>
              <w:right w:val="nil"/>
            </w:tcBorders>
            <w:shd w:val="clear" w:color="auto" w:fill="auto"/>
            <w:noWrap/>
            <w:vAlign w:val="bottom"/>
            <w:hideMark/>
          </w:tcPr>
          <w:p w:rsidR="00C41D2B" w:rsidRPr="0080208F" w:rsidRDefault="00C41D2B" w:rsidP="003671B8">
            <w:pPr>
              <w:rPr>
                <w:rFonts w:ascii="Times New Roman" w:hAnsi="Times New Roman" w:cs="Times New Roman"/>
                <w:sz w:val="18"/>
                <w:szCs w:val="18"/>
              </w:rPr>
            </w:pPr>
            <w:r w:rsidRPr="0080208F">
              <w:rPr>
                <w:rFonts w:ascii="Times New Roman" w:hAnsi="Times New Roman" w:cs="Times New Roman"/>
                <w:sz w:val="18"/>
                <w:szCs w:val="18"/>
              </w:rPr>
              <w:t>4. Nord est</w:t>
            </w:r>
          </w:p>
        </w:tc>
        <w:tc>
          <w:tcPr>
            <w:tcW w:w="712" w:type="dxa"/>
            <w:tcBorders>
              <w:top w:val="nil"/>
              <w:left w:val="nil"/>
              <w:bottom w:val="nil"/>
              <w:right w:val="nil"/>
            </w:tcBorders>
            <w:shd w:val="clear" w:color="auto" w:fill="auto"/>
            <w:vAlign w:val="bottom"/>
            <w:hideMark/>
          </w:tcPr>
          <w:p w:rsidR="00C41D2B" w:rsidRPr="0080208F" w:rsidRDefault="00C41D2B" w:rsidP="003671B8">
            <w:pPr>
              <w:jc w:val="right"/>
              <w:rPr>
                <w:rFonts w:ascii="Times New Roman" w:hAnsi="Times New Roman" w:cs="Times New Roman"/>
                <w:b/>
                <w:bCs/>
                <w:sz w:val="18"/>
                <w:szCs w:val="18"/>
              </w:rPr>
            </w:pPr>
            <w:r w:rsidRPr="0080208F">
              <w:rPr>
                <w:rFonts w:ascii="Times New Roman" w:hAnsi="Times New Roman" w:cs="Times New Roman"/>
                <w:b/>
                <w:bCs/>
                <w:sz w:val="18"/>
                <w:szCs w:val="18"/>
              </w:rPr>
              <w:t>9</w:t>
            </w:r>
          </w:p>
        </w:tc>
        <w:tc>
          <w:tcPr>
            <w:tcW w:w="764"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112,8</w:t>
            </w:r>
          </w:p>
        </w:tc>
        <w:tc>
          <w:tcPr>
            <w:tcW w:w="860"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108,0</w:t>
            </w:r>
          </w:p>
        </w:tc>
        <w:tc>
          <w:tcPr>
            <w:tcW w:w="860"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108,6</w:t>
            </w:r>
          </w:p>
        </w:tc>
        <w:tc>
          <w:tcPr>
            <w:tcW w:w="763"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109,9</w:t>
            </w:r>
          </w:p>
        </w:tc>
        <w:tc>
          <w:tcPr>
            <w:tcW w:w="763" w:type="dxa"/>
            <w:tcBorders>
              <w:top w:val="nil"/>
              <w:left w:val="nil"/>
              <w:bottom w:val="nil"/>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111,4</w:t>
            </w:r>
          </w:p>
        </w:tc>
        <w:tc>
          <w:tcPr>
            <w:tcW w:w="766" w:type="dxa"/>
            <w:tcBorders>
              <w:top w:val="nil"/>
              <w:left w:val="nil"/>
              <w:bottom w:val="nil"/>
              <w:right w:val="nil"/>
            </w:tcBorders>
            <w:shd w:val="clear" w:color="000000" w:fill="CCFFCC"/>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1,4%</w:t>
            </w:r>
          </w:p>
        </w:tc>
        <w:tc>
          <w:tcPr>
            <w:tcW w:w="765" w:type="dxa"/>
            <w:tcBorders>
              <w:top w:val="nil"/>
              <w:left w:val="nil"/>
              <w:bottom w:val="nil"/>
              <w:right w:val="nil"/>
            </w:tcBorders>
            <w:shd w:val="clear" w:color="000000" w:fill="99CC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3,1%</w:t>
            </w:r>
          </w:p>
        </w:tc>
        <w:tc>
          <w:tcPr>
            <w:tcW w:w="765" w:type="dxa"/>
            <w:tcBorders>
              <w:top w:val="nil"/>
              <w:left w:val="nil"/>
              <w:bottom w:val="nil"/>
              <w:right w:val="nil"/>
            </w:tcBorders>
            <w:shd w:val="clear" w:color="000000" w:fill="CC99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-1,2%</w:t>
            </w:r>
          </w:p>
        </w:tc>
      </w:tr>
      <w:tr w:rsidR="00C41D2B" w:rsidRPr="0080208F" w:rsidTr="003671B8">
        <w:trPr>
          <w:trHeight w:val="315"/>
        </w:trPr>
        <w:tc>
          <w:tcPr>
            <w:tcW w:w="1536" w:type="dxa"/>
            <w:tcBorders>
              <w:top w:val="nil"/>
              <w:left w:val="nil"/>
              <w:bottom w:val="double" w:sz="6" w:space="0" w:color="auto"/>
              <w:right w:val="nil"/>
            </w:tcBorders>
            <w:shd w:val="clear" w:color="auto" w:fill="auto"/>
            <w:noWrap/>
            <w:vAlign w:val="bottom"/>
            <w:hideMark/>
          </w:tcPr>
          <w:p w:rsidR="00C41D2B" w:rsidRPr="0080208F" w:rsidRDefault="00C41D2B" w:rsidP="003671B8">
            <w:pPr>
              <w:rPr>
                <w:rFonts w:ascii="Times New Roman" w:hAnsi="Times New Roman" w:cs="Times New Roman"/>
                <w:sz w:val="18"/>
                <w:szCs w:val="18"/>
              </w:rPr>
            </w:pPr>
            <w:r w:rsidRPr="0080208F">
              <w:rPr>
                <w:rFonts w:ascii="Times New Roman" w:hAnsi="Times New Roman" w:cs="Times New Roman"/>
                <w:sz w:val="18"/>
                <w:szCs w:val="18"/>
              </w:rPr>
              <w:t xml:space="preserve">5. </w:t>
            </w:r>
            <w:proofErr w:type="spellStart"/>
            <w:r w:rsidRPr="0080208F">
              <w:rPr>
                <w:rFonts w:ascii="Times New Roman" w:hAnsi="Times New Roman" w:cs="Times New Roman"/>
                <w:sz w:val="18"/>
                <w:szCs w:val="18"/>
              </w:rPr>
              <w:t>Nord ouest</w:t>
            </w:r>
            <w:proofErr w:type="spellEnd"/>
          </w:p>
        </w:tc>
        <w:tc>
          <w:tcPr>
            <w:tcW w:w="712" w:type="dxa"/>
            <w:tcBorders>
              <w:top w:val="nil"/>
              <w:left w:val="nil"/>
              <w:bottom w:val="double" w:sz="6" w:space="0" w:color="auto"/>
              <w:right w:val="nil"/>
            </w:tcBorders>
            <w:shd w:val="clear" w:color="auto" w:fill="auto"/>
            <w:noWrap/>
            <w:vAlign w:val="bottom"/>
            <w:hideMark/>
          </w:tcPr>
          <w:p w:rsidR="00C41D2B" w:rsidRPr="0080208F" w:rsidRDefault="00C41D2B" w:rsidP="003671B8">
            <w:pPr>
              <w:jc w:val="right"/>
              <w:rPr>
                <w:rFonts w:ascii="Times New Roman" w:hAnsi="Times New Roman" w:cs="Times New Roman"/>
                <w:b/>
                <w:sz w:val="18"/>
                <w:szCs w:val="18"/>
              </w:rPr>
            </w:pPr>
            <w:r w:rsidRPr="0080208F">
              <w:rPr>
                <w:rFonts w:ascii="Times New Roman" w:hAnsi="Times New Roman" w:cs="Times New Roman"/>
                <w:b/>
                <w:sz w:val="18"/>
                <w:szCs w:val="18"/>
              </w:rPr>
              <w:t>6</w:t>
            </w:r>
          </w:p>
        </w:tc>
        <w:tc>
          <w:tcPr>
            <w:tcW w:w="764" w:type="dxa"/>
            <w:tcBorders>
              <w:top w:val="nil"/>
              <w:left w:val="nil"/>
              <w:bottom w:val="double" w:sz="6" w:space="0" w:color="auto"/>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99,5</w:t>
            </w:r>
          </w:p>
        </w:tc>
        <w:tc>
          <w:tcPr>
            <w:tcW w:w="860" w:type="dxa"/>
            <w:tcBorders>
              <w:top w:val="nil"/>
              <w:left w:val="nil"/>
              <w:bottom w:val="double" w:sz="6" w:space="0" w:color="auto"/>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92,5</w:t>
            </w:r>
          </w:p>
        </w:tc>
        <w:tc>
          <w:tcPr>
            <w:tcW w:w="860" w:type="dxa"/>
            <w:tcBorders>
              <w:top w:val="nil"/>
              <w:left w:val="nil"/>
              <w:bottom w:val="double" w:sz="6" w:space="0" w:color="auto"/>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92,6</w:t>
            </w:r>
          </w:p>
        </w:tc>
        <w:tc>
          <w:tcPr>
            <w:tcW w:w="763" w:type="dxa"/>
            <w:tcBorders>
              <w:top w:val="nil"/>
              <w:left w:val="nil"/>
              <w:bottom w:val="double" w:sz="6" w:space="0" w:color="auto"/>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92,7</w:t>
            </w:r>
          </w:p>
        </w:tc>
        <w:tc>
          <w:tcPr>
            <w:tcW w:w="763" w:type="dxa"/>
            <w:tcBorders>
              <w:top w:val="nil"/>
              <w:left w:val="nil"/>
              <w:bottom w:val="double" w:sz="6" w:space="0" w:color="auto"/>
              <w:right w:val="nil"/>
            </w:tcBorders>
            <w:shd w:val="clear" w:color="auto" w:fill="auto"/>
            <w:noWrap/>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93,5</w:t>
            </w:r>
          </w:p>
        </w:tc>
        <w:tc>
          <w:tcPr>
            <w:tcW w:w="766" w:type="dxa"/>
            <w:tcBorders>
              <w:top w:val="nil"/>
              <w:left w:val="nil"/>
              <w:bottom w:val="double" w:sz="6" w:space="0" w:color="auto"/>
              <w:right w:val="nil"/>
            </w:tcBorders>
            <w:shd w:val="clear" w:color="000000" w:fill="CCFFCC"/>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0,9%</w:t>
            </w:r>
          </w:p>
        </w:tc>
        <w:tc>
          <w:tcPr>
            <w:tcW w:w="765" w:type="dxa"/>
            <w:tcBorders>
              <w:top w:val="nil"/>
              <w:left w:val="nil"/>
              <w:bottom w:val="double" w:sz="6" w:space="0" w:color="auto"/>
              <w:right w:val="nil"/>
            </w:tcBorders>
            <w:shd w:val="clear" w:color="000000" w:fill="99CC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1,1%</w:t>
            </w:r>
          </w:p>
        </w:tc>
        <w:tc>
          <w:tcPr>
            <w:tcW w:w="765" w:type="dxa"/>
            <w:tcBorders>
              <w:top w:val="nil"/>
              <w:left w:val="nil"/>
              <w:bottom w:val="double" w:sz="6" w:space="0" w:color="auto"/>
              <w:right w:val="nil"/>
            </w:tcBorders>
            <w:shd w:val="clear" w:color="000000" w:fill="CC99FF"/>
            <w:vAlign w:val="bottom"/>
            <w:hideMark/>
          </w:tcPr>
          <w:p w:rsidR="00C41D2B" w:rsidRPr="00C41D2B" w:rsidRDefault="00C41D2B">
            <w:pPr>
              <w:jc w:val="right"/>
              <w:rPr>
                <w:rFonts w:ascii="Times New Roman" w:hAnsi="Times New Roman" w:cs="Times New Roman"/>
                <w:sz w:val="18"/>
                <w:szCs w:val="18"/>
              </w:rPr>
            </w:pPr>
            <w:r w:rsidRPr="00C41D2B">
              <w:rPr>
                <w:rFonts w:ascii="Times New Roman" w:hAnsi="Times New Roman" w:cs="Times New Roman"/>
                <w:sz w:val="18"/>
                <w:szCs w:val="18"/>
              </w:rPr>
              <w:t>-6,0%</w:t>
            </w:r>
          </w:p>
        </w:tc>
      </w:tr>
    </w:tbl>
    <w:p w:rsidR="003671B8" w:rsidRPr="00583FBC" w:rsidRDefault="003671B8" w:rsidP="003671B8">
      <w:pPr>
        <w:rPr>
          <w:rFonts w:ascii="Times New Roman" w:hAnsi="Times New Roman" w:cs="Times New Roman"/>
          <w:bCs/>
          <w:sz w:val="16"/>
          <w:szCs w:val="16"/>
        </w:rPr>
      </w:pPr>
      <w:r w:rsidRPr="00583FBC">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0814FF">
        <w:rPr>
          <w:rFonts w:ascii="Times New Roman" w:hAnsi="Times New Roman" w:cs="Times New Roman"/>
          <w:bCs/>
          <w:sz w:val="16"/>
          <w:szCs w:val="16"/>
        </w:rPr>
        <w:t>mars</w:t>
      </w:r>
      <w:r w:rsidR="00A00B1E">
        <w:rPr>
          <w:rFonts w:ascii="Times New Roman" w:hAnsi="Times New Roman" w:cs="Times New Roman"/>
          <w:bCs/>
          <w:sz w:val="16"/>
          <w:szCs w:val="16"/>
        </w:rPr>
        <w:t xml:space="preserve"> 2021</w:t>
      </w:r>
    </w:p>
    <w:p w:rsidR="003671B8" w:rsidRDefault="003671B8" w:rsidP="003671B8"/>
    <w:p w:rsidR="003671B8" w:rsidRDefault="003671B8" w:rsidP="003671B8">
      <w:pPr>
        <w:jc w:val="both"/>
        <w:rPr>
          <w:b/>
          <w:bCs/>
          <w:i/>
          <w:iCs/>
        </w:rPr>
      </w:pPr>
    </w:p>
    <w:p w:rsidR="003671B8" w:rsidRDefault="003671B8" w:rsidP="003671B8">
      <w:pPr>
        <w:jc w:val="both"/>
        <w:rPr>
          <w:b/>
          <w:bCs/>
          <w:i/>
          <w:iCs/>
        </w:rPr>
      </w:pPr>
    </w:p>
    <w:p w:rsidR="00C41D2B" w:rsidRDefault="00C41D2B" w:rsidP="003671B8">
      <w:pPr>
        <w:jc w:val="both"/>
        <w:rPr>
          <w:b/>
          <w:bCs/>
          <w:i/>
          <w:iCs/>
        </w:rPr>
      </w:pPr>
    </w:p>
    <w:p w:rsidR="00C41D2B" w:rsidRDefault="00C41D2B" w:rsidP="003671B8">
      <w:pPr>
        <w:jc w:val="both"/>
        <w:rPr>
          <w:b/>
          <w:bCs/>
          <w:i/>
          <w:iCs/>
        </w:rPr>
      </w:pPr>
    </w:p>
    <w:p w:rsidR="003671B8" w:rsidRPr="00324CD7" w:rsidRDefault="003671B8" w:rsidP="00EF65B5">
      <w:pPr>
        <w:rPr>
          <w:b/>
          <w:bCs/>
          <w:i/>
          <w:iCs/>
        </w:rPr>
      </w:pPr>
      <w:r w:rsidRPr="00EF65B5">
        <w:rPr>
          <w:rFonts w:ascii="Times New Roman" w:hAnsi="Times New Roman" w:cs="Times New Roman"/>
          <w:b/>
          <w:sz w:val="24"/>
          <w:szCs w:val="24"/>
        </w:rPr>
        <w:t xml:space="preserve">Tableau </w:t>
      </w:r>
      <w:r w:rsidR="009A1366">
        <w:rPr>
          <w:rFonts w:ascii="Times New Roman" w:hAnsi="Times New Roman" w:cs="Times New Roman"/>
          <w:b/>
          <w:sz w:val="24"/>
          <w:szCs w:val="24"/>
        </w:rPr>
        <w:t>4</w:t>
      </w:r>
      <w:r w:rsidRPr="00EF65B5">
        <w:rPr>
          <w:rFonts w:ascii="Times New Roman" w:hAnsi="Times New Roman" w:cs="Times New Roman"/>
          <w:b/>
          <w:sz w:val="24"/>
          <w:szCs w:val="24"/>
        </w:rPr>
        <w:t xml:space="preserve"> : Prix moyens (en F.CFA) de certains produits de première nécessité dans </w:t>
      </w:r>
      <w:r w:rsidR="00EA37C7">
        <w:rPr>
          <w:rFonts w:ascii="Times New Roman" w:hAnsi="Times New Roman" w:cs="Times New Roman"/>
          <w:b/>
          <w:sz w:val="24"/>
          <w:szCs w:val="24"/>
        </w:rPr>
        <w:t xml:space="preserve">les grandes villes en </w:t>
      </w:r>
      <w:r w:rsidR="000814FF">
        <w:rPr>
          <w:rFonts w:ascii="Times New Roman" w:hAnsi="Times New Roman" w:cs="Times New Roman"/>
          <w:b/>
          <w:sz w:val="24"/>
          <w:szCs w:val="24"/>
        </w:rPr>
        <w:t>mars</w:t>
      </w:r>
      <w:r w:rsidRPr="00EF65B5">
        <w:rPr>
          <w:rFonts w:ascii="Times New Roman" w:hAnsi="Times New Roman" w:cs="Times New Roman"/>
          <w:b/>
          <w:sz w:val="24"/>
          <w:szCs w:val="24"/>
        </w:rPr>
        <w:t xml:space="preserve"> 202</w:t>
      </w:r>
      <w:r w:rsidR="00CB0B44">
        <w:rPr>
          <w:rFonts w:ascii="Times New Roman" w:hAnsi="Times New Roman" w:cs="Times New Roman"/>
          <w:b/>
          <w:sz w:val="24"/>
          <w:szCs w:val="24"/>
        </w:rPr>
        <w:t>1</w:t>
      </w:r>
    </w:p>
    <w:tbl>
      <w:tblPr>
        <w:tblW w:w="10393" w:type="dxa"/>
        <w:tblInd w:w="56" w:type="dxa"/>
        <w:tblLayout w:type="fixed"/>
        <w:tblCellMar>
          <w:left w:w="70" w:type="dxa"/>
          <w:right w:w="70" w:type="dxa"/>
        </w:tblCellMar>
        <w:tblLook w:val="04A0" w:firstRow="1" w:lastRow="0" w:firstColumn="1" w:lastColumn="0" w:noHBand="0" w:noVBand="1"/>
      </w:tblPr>
      <w:tblGrid>
        <w:gridCol w:w="3535"/>
        <w:gridCol w:w="992"/>
        <w:gridCol w:w="992"/>
        <w:gridCol w:w="1011"/>
        <w:gridCol w:w="992"/>
        <w:gridCol w:w="910"/>
        <w:gridCol w:w="991"/>
        <w:gridCol w:w="970"/>
      </w:tblGrid>
      <w:tr w:rsidR="003671B8" w:rsidRPr="0058147B" w:rsidTr="003671B8">
        <w:trPr>
          <w:trHeight w:val="375"/>
        </w:trPr>
        <w:tc>
          <w:tcPr>
            <w:tcW w:w="3535" w:type="dxa"/>
            <w:vMerge w:val="restart"/>
            <w:tcBorders>
              <w:top w:val="single" w:sz="8" w:space="0" w:color="auto"/>
              <w:left w:val="single" w:sz="8" w:space="0" w:color="auto"/>
              <w:bottom w:val="single" w:sz="8" w:space="0" w:color="000000"/>
              <w:right w:val="single" w:sz="8" w:space="0" w:color="auto"/>
            </w:tcBorders>
            <w:shd w:val="clear" w:color="000000" w:fill="DBE5F1"/>
            <w:noWrap/>
            <w:vAlign w:val="bottom"/>
            <w:hideMark/>
          </w:tcPr>
          <w:p w:rsidR="003671B8" w:rsidRPr="0058147B" w:rsidRDefault="003671B8" w:rsidP="003671B8">
            <w:pP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Produits</w:t>
            </w:r>
          </w:p>
        </w:tc>
        <w:tc>
          <w:tcPr>
            <w:tcW w:w="5888" w:type="dxa"/>
            <w:gridSpan w:val="6"/>
            <w:tcBorders>
              <w:top w:val="single" w:sz="8" w:space="0" w:color="auto"/>
              <w:left w:val="nil"/>
              <w:bottom w:val="single" w:sz="8" w:space="0" w:color="auto"/>
              <w:right w:val="single" w:sz="8" w:space="0" w:color="auto"/>
            </w:tcBorders>
            <w:shd w:val="clear" w:color="000000" w:fill="DBE5F1"/>
            <w:vAlign w:val="bottom"/>
            <w:hideMark/>
          </w:tcPr>
          <w:p w:rsidR="003671B8" w:rsidRPr="0058147B" w:rsidRDefault="003671B8" w:rsidP="003671B8">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Les principales villes</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3671B8" w:rsidRPr="0058147B" w:rsidRDefault="003671B8" w:rsidP="003671B8">
            <w:pPr>
              <w:jc w:val="center"/>
              <w:rPr>
                <w:rFonts w:ascii="Times New Roman" w:hAnsi="Times New Roman" w:cs="Times New Roman"/>
                <w:b/>
                <w:bCs/>
                <w:color w:val="000000"/>
                <w:sz w:val="18"/>
                <w:szCs w:val="18"/>
              </w:rPr>
            </w:pPr>
            <w:r w:rsidRPr="0058147B">
              <w:rPr>
                <w:rFonts w:ascii="Times New Roman" w:hAnsi="Times New Roman" w:cs="Times New Roman"/>
                <w:b/>
                <w:bCs/>
                <w:color w:val="000000"/>
                <w:sz w:val="18"/>
                <w:szCs w:val="18"/>
              </w:rPr>
              <w:t xml:space="preserve">Prix moyen </w:t>
            </w:r>
          </w:p>
        </w:tc>
      </w:tr>
      <w:tr w:rsidR="003671B8" w:rsidRPr="0058147B" w:rsidTr="003671B8">
        <w:trPr>
          <w:trHeight w:val="585"/>
        </w:trPr>
        <w:tc>
          <w:tcPr>
            <w:tcW w:w="3535" w:type="dxa"/>
            <w:vMerge/>
            <w:tcBorders>
              <w:top w:val="single" w:sz="8" w:space="0" w:color="auto"/>
              <w:left w:val="single" w:sz="8" w:space="0" w:color="auto"/>
              <w:bottom w:val="single" w:sz="8" w:space="0" w:color="000000"/>
              <w:right w:val="single" w:sz="8" w:space="0" w:color="auto"/>
            </w:tcBorders>
            <w:vAlign w:val="center"/>
            <w:hideMark/>
          </w:tcPr>
          <w:p w:rsidR="003671B8" w:rsidRPr="0058147B" w:rsidRDefault="003671B8" w:rsidP="003671B8">
            <w:pPr>
              <w:rPr>
                <w:rFonts w:ascii="Times New Roman" w:hAnsi="Times New Roman" w:cs="Times New Roman"/>
                <w:b/>
                <w:bCs/>
                <w:color w:val="000000"/>
                <w:sz w:val="18"/>
                <w:szCs w:val="18"/>
              </w:rPr>
            </w:pP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Cotonou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Porto-Novo</w:t>
            </w:r>
          </w:p>
        </w:tc>
        <w:tc>
          <w:tcPr>
            <w:tcW w:w="1011"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Parakou</w:t>
            </w:r>
          </w:p>
        </w:tc>
        <w:tc>
          <w:tcPr>
            <w:tcW w:w="992"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Natitingou</w:t>
            </w:r>
          </w:p>
        </w:tc>
        <w:tc>
          <w:tcPr>
            <w:tcW w:w="910"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bookmarkStart w:id="0" w:name="RANGE!F5"/>
            <w:proofErr w:type="spellStart"/>
            <w:r w:rsidRPr="0058147B">
              <w:rPr>
                <w:rFonts w:ascii="Times New Roman" w:hAnsi="Times New Roman" w:cs="Times New Roman"/>
                <w:color w:val="000000"/>
                <w:sz w:val="18"/>
                <w:szCs w:val="18"/>
              </w:rPr>
              <w:t>Bohicon</w:t>
            </w:r>
            <w:bookmarkEnd w:id="0"/>
            <w:proofErr w:type="spellEnd"/>
          </w:p>
        </w:tc>
        <w:tc>
          <w:tcPr>
            <w:tcW w:w="991" w:type="dxa"/>
            <w:tcBorders>
              <w:top w:val="nil"/>
              <w:left w:val="nil"/>
              <w:bottom w:val="single" w:sz="8" w:space="0" w:color="auto"/>
              <w:right w:val="single" w:sz="8" w:space="0" w:color="auto"/>
            </w:tcBorders>
            <w:shd w:val="clear" w:color="000000" w:fill="FBD4B4"/>
            <w:vAlign w:val="center"/>
            <w:hideMark/>
          </w:tcPr>
          <w:p w:rsidR="003671B8" w:rsidRPr="0058147B" w:rsidRDefault="003671B8"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Lokossa</w:t>
            </w:r>
          </w:p>
        </w:tc>
        <w:tc>
          <w:tcPr>
            <w:tcW w:w="970" w:type="dxa"/>
            <w:vMerge/>
            <w:tcBorders>
              <w:top w:val="single" w:sz="8" w:space="0" w:color="auto"/>
              <w:left w:val="single" w:sz="8" w:space="0" w:color="auto"/>
              <w:bottom w:val="single" w:sz="8" w:space="0" w:color="000000"/>
              <w:right w:val="single" w:sz="8" w:space="0" w:color="auto"/>
            </w:tcBorders>
            <w:vAlign w:val="center"/>
            <w:hideMark/>
          </w:tcPr>
          <w:p w:rsidR="003671B8" w:rsidRPr="0058147B" w:rsidRDefault="003671B8" w:rsidP="003671B8">
            <w:pPr>
              <w:rPr>
                <w:rFonts w:ascii="Times New Roman" w:hAnsi="Times New Roman" w:cs="Times New Roman"/>
                <w:b/>
                <w:bCs/>
                <w:color w:val="000000"/>
                <w:sz w:val="18"/>
                <w:szCs w:val="18"/>
              </w:rPr>
            </w:pPr>
          </w:p>
        </w:tc>
      </w:tr>
      <w:tr w:rsidR="005A5C89" w:rsidRPr="0058147B" w:rsidTr="003671B8">
        <w:trPr>
          <w:trHeight w:val="13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Maïs séchés en grains vendus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253</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237</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245</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211</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222</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228</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233</w:t>
            </w:r>
          </w:p>
        </w:tc>
      </w:tr>
      <w:tr w:rsidR="005A5C89" w:rsidRPr="0058147B" w:rsidTr="003671B8">
        <w:trPr>
          <w:trHeight w:val="19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en grains longs vendu au détail (1KG)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493</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493</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599</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503</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549</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466</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517</w:t>
            </w:r>
          </w:p>
        </w:tc>
      </w:tr>
      <w:tr w:rsidR="005A5C89" w:rsidRPr="0058147B" w:rsidTr="003671B8">
        <w:trPr>
          <w:trHeight w:val="24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Sorgho  (1KG)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512</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462</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272</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340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404</w:t>
            </w:r>
          </w:p>
        </w:tc>
      </w:tr>
      <w:tr w:rsidR="005A5C89" w:rsidRPr="0058147B" w:rsidTr="003671B8">
        <w:trPr>
          <w:trHeight w:val="27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Mil  (1KG)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550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466</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443</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339</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444</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498</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457</w:t>
            </w:r>
          </w:p>
        </w:tc>
      </w:tr>
      <w:tr w:rsidR="005A5C89" w:rsidRPr="0058147B" w:rsidTr="003671B8">
        <w:trPr>
          <w:trHeight w:val="262"/>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Gari 2ème qualité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428</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381</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365</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450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380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345</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391</w:t>
            </w:r>
          </w:p>
        </w:tc>
      </w:tr>
      <w:tr w:rsidR="005A5C89" w:rsidRPr="0058147B" w:rsidTr="003671B8">
        <w:trPr>
          <w:trHeight w:val="26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Sucre raffiné en poudre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463</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494</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487</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495</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450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482</w:t>
            </w:r>
          </w:p>
        </w:tc>
      </w:tr>
      <w:tr w:rsidR="005A5C89" w:rsidRPr="0058147B" w:rsidTr="003671B8">
        <w:trPr>
          <w:trHeight w:val="25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Haricot blanc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637</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620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687</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476</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578</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590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598</w:t>
            </w:r>
          </w:p>
        </w:tc>
      </w:tr>
      <w:tr w:rsidR="005A5C89" w:rsidRPr="0058147B" w:rsidTr="003671B8">
        <w:trPr>
          <w:trHeight w:val="27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Ignames</w:t>
            </w:r>
            <w:r w:rsidR="0046672A">
              <w:rPr>
                <w:rFonts w:ascii="Times New Roman" w:hAnsi="Times New Roman" w:cs="Times New Roman"/>
                <w:color w:val="000000"/>
                <w:sz w:val="18"/>
                <w:szCs w:val="18"/>
              </w:rPr>
              <w:t xml:space="preserve"> </w:t>
            </w:r>
            <w:r w:rsidRPr="0058147B">
              <w:rPr>
                <w:rFonts w:ascii="Times New Roman" w:hAnsi="Times New Roman" w:cs="Times New Roman"/>
                <w:color w:val="000000"/>
                <w:sz w:val="18"/>
                <w:szCs w:val="18"/>
              </w:rPr>
              <w:t>(1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491</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352</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485</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185</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247</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377</w:t>
            </w:r>
          </w:p>
        </w:tc>
      </w:tr>
      <w:tr w:rsidR="005A5C89" w:rsidRPr="0058147B" w:rsidTr="003671B8">
        <w:trPr>
          <w:trHeight w:val="26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Tomate fraiche</w:t>
            </w:r>
            <w:r w:rsidR="0046672A">
              <w:rPr>
                <w:rFonts w:ascii="Times New Roman" w:hAnsi="Times New Roman" w:cs="Times New Roman"/>
                <w:color w:val="000000"/>
                <w:sz w:val="18"/>
                <w:szCs w:val="18"/>
              </w:rPr>
              <w:t xml:space="preserve"> </w:t>
            </w:r>
            <w:r w:rsidRPr="0058147B">
              <w:rPr>
                <w:rFonts w:ascii="Times New Roman" w:hAnsi="Times New Roman" w:cs="Times New Roman"/>
                <w:color w:val="000000"/>
                <w:sz w:val="18"/>
                <w:szCs w:val="18"/>
              </w:rPr>
              <w:t>(1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375</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374</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311</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228</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301</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389</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330</w:t>
            </w:r>
          </w:p>
        </w:tc>
      </w:tr>
      <w:tr w:rsidR="005A5C89" w:rsidRPr="0058147B" w:rsidTr="003671B8">
        <w:trPr>
          <w:trHeight w:val="25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Piment frais  au kg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796</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775</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520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756</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865</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670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730</w:t>
            </w:r>
          </w:p>
        </w:tc>
      </w:tr>
      <w:tr w:rsidR="005A5C89" w:rsidRPr="0058147B" w:rsidTr="003671B8">
        <w:trPr>
          <w:trHeight w:val="25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Oignon frais rond</w:t>
            </w:r>
            <w:r w:rsidR="0046672A">
              <w:rPr>
                <w:rFonts w:ascii="Times New Roman" w:hAnsi="Times New Roman" w:cs="Times New Roman"/>
                <w:color w:val="000000"/>
                <w:sz w:val="18"/>
                <w:szCs w:val="18"/>
              </w:rPr>
              <w:t xml:space="preserve"> </w:t>
            </w:r>
            <w:r w:rsidRPr="0058147B">
              <w:rPr>
                <w:rFonts w:ascii="Times New Roman" w:hAnsi="Times New Roman" w:cs="Times New Roman"/>
                <w:color w:val="000000"/>
                <w:sz w:val="18"/>
                <w:szCs w:val="18"/>
              </w:rPr>
              <w:t>(1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226</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246</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254</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305</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142</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263</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239</w:t>
            </w:r>
          </w:p>
        </w:tc>
      </w:tr>
      <w:tr w:rsidR="005A5C89" w:rsidRPr="0058147B" w:rsidTr="003671B8">
        <w:trPr>
          <w:trHeight w:val="2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d'arachide artisanale (1 L)</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1 150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1 200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1 200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1 025</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900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933</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1 068</w:t>
            </w:r>
          </w:p>
        </w:tc>
      </w:tr>
      <w:tr w:rsidR="005A5C89" w:rsidRPr="0058147B" w:rsidTr="003671B8">
        <w:trPr>
          <w:trHeight w:val="26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Huile de Palme non raffinée (1 L)</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813</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588</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900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700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767</w:t>
            </w:r>
          </w:p>
        </w:tc>
      </w:tr>
      <w:tr w:rsidR="005A5C89" w:rsidRPr="0058147B" w:rsidTr="003671B8">
        <w:trPr>
          <w:trHeight w:val="25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Pétrole lampant vendu en vrac (1 L)</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650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550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508</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601</w:t>
            </w:r>
          </w:p>
        </w:tc>
      </w:tr>
      <w:tr w:rsidR="005A5C89" w:rsidRPr="0058147B" w:rsidTr="003671B8">
        <w:trPr>
          <w:trHeight w:val="27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 xml:space="preserve">Essence </w:t>
            </w:r>
            <w:proofErr w:type="spellStart"/>
            <w:r w:rsidRPr="0058147B">
              <w:rPr>
                <w:rFonts w:ascii="Times New Roman" w:hAnsi="Times New Roman" w:cs="Times New Roman"/>
                <w:color w:val="000000"/>
                <w:sz w:val="18"/>
                <w:szCs w:val="18"/>
              </w:rPr>
              <w:t>Kpayo</w:t>
            </w:r>
            <w:proofErr w:type="spellEnd"/>
            <w:r w:rsidRPr="0058147B">
              <w:rPr>
                <w:rFonts w:ascii="Times New Roman" w:hAnsi="Times New Roman" w:cs="Times New Roman"/>
                <w:color w:val="000000"/>
                <w:sz w:val="18"/>
                <w:szCs w:val="18"/>
              </w:rPr>
              <w:t xml:space="preserve"> (1 L)</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383</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344</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363</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375</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375</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383</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370</w:t>
            </w:r>
          </w:p>
        </w:tc>
      </w:tr>
      <w:tr w:rsidR="005A5C89" w:rsidRPr="0058147B"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(6Kg)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3 500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3 300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3 450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3 270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3 270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3 300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3 348</w:t>
            </w:r>
          </w:p>
        </w:tc>
      </w:tr>
      <w:tr w:rsidR="005A5C89"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Gaz domestique (12,5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6 904</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6 850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6 900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6 815</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6 815</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6 850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6 856</w:t>
            </w:r>
          </w:p>
        </w:tc>
      </w:tr>
      <w:tr w:rsidR="005A5C89" w:rsidRPr="0058147B" w:rsidTr="003671B8">
        <w:trPr>
          <w:trHeight w:val="287"/>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Chinchard congelé  (</w:t>
            </w:r>
            <w:proofErr w:type="spellStart"/>
            <w:r w:rsidRPr="0058147B">
              <w:rPr>
                <w:rFonts w:ascii="Times New Roman" w:hAnsi="Times New Roman" w:cs="Times New Roman"/>
                <w:color w:val="000000"/>
                <w:sz w:val="18"/>
                <w:szCs w:val="18"/>
              </w:rPr>
              <w:t>Silvi</w:t>
            </w:r>
            <w:proofErr w:type="spellEnd"/>
            <w:r w:rsidRPr="0058147B">
              <w:rPr>
                <w:rFonts w:ascii="Times New Roman" w:hAnsi="Times New Roman" w:cs="Times New Roman"/>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1 421</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1 233</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1 367</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1 400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1 200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1 425</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1 341</w:t>
            </w:r>
          </w:p>
        </w:tc>
      </w:tr>
      <w:tr w:rsidR="005A5C89" w:rsidRPr="0058147B" w:rsidTr="003671B8">
        <w:trPr>
          <w:trHeight w:val="263"/>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bœuf sans os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1 800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2 400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2 417</w:t>
            </w:r>
          </w:p>
        </w:tc>
      </w:tr>
      <w:tr w:rsidR="005A5C89" w:rsidRPr="0058147B" w:rsidTr="003671B8">
        <w:trPr>
          <w:trHeight w:val="14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Viande de mouton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2 800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2 500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2 000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3 000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2 500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2 633</w:t>
            </w:r>
          </w:p>
        </w:tc>
      </w:tr>
      <w:tr w:rsidR="005A5C89" w:rsidRPr="0058147B"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Riz importé ''GINO'' (5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5 300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5 500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5 500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6 000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6 000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5 250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5 592</w:t>
            </w:r>
          </w:p>
        </w:tc>
      </w:tr>
      <w:tr w:rsidR="005A5C89" w:rsidRPr="0058147B" w:rsidTr="003671B8">
        <w:trPr>
          <w:trHeight w:val="196"/>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''JAGO''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1 025</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1 004</w:t>
            </w:r>
          </w:p>
        </w:tc>
      </w:tr>
      <w:tr w:rsidR="005A5C89" w:rsidRPr="0058147B" w:rsidTr="003671B8">
        <w:trPr>
          <w:trHeight w:val="229"/>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Lait concentré ''</w:t>
            </w:r>
            <w:proofErr w:type="spellStart"/>
            <w:r w:rsidRPr="0058147B">
              <w:rPr>
                <w:rFonts w:ascii="Times New Roman" w:hAnsi="Times New Roman" w:cs="Times New Roman"/>
                <w:color w:val="000000"/>
                <w:sz w:val="18"/>
                <w:szCs w:val="18"/>
              </w:rPr>
              <w:t>Cèbon</w:t>
            </w:r>
            <w:proofErr w:type="spellEnd"/>
            <w:r w:rsidRPr="0058147B">
              <w:rPr>
                <w:rFonts w:ascii="Times New Roman" w:hAnsi="Times New Roman" w:cs="Times New Roman"/>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963</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1 000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942</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984</w:t>
            </w:r>
          </w:p>
        </w:tc>
      </w:tr>
      <w:tr w:rsidR="005A5C89" w:rsidRPr="0058147B" w:rsidTr="003671B8">
        <w:trPr>
          <w:trHeight w:val="121"/>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Farine de blé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450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492</w:t>
            </w:r>
          </w:p>
        </w:tc>
      </w:tr>
      <w:tr w:rsidR="005A5C89" w:rsidRPr="0058147B" w:rsidTr="003671B8">
        <w:trPr>
          <w:trHeight w:val="284"/>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Spaghetti ''</w:t>
            </w:r>
            <w:proofErr w:type="spellStart"/>
            <w:r w:rsidRPr="0058147B">
              <w:rPr>
                <w:rFonts w:ascii="Times New Roman" w:hAnsi="Times New Roman" w:cs="Times New Roman"/>
                <w:color w:val="000000"/>
                <w:sz w:val="18"/>
                <w:szCs w:val="18"/>
              </w:rPr>
              <w:t>Matanti</w:t>
            </w:r>
            <w:proofErr w:type="spellEnd"/>
            <w:r w:rsidRPr="0058147B">
              <w:rPr>
                <w:rFonts w:ascii="Times New Roman" w:hAnsi="Times New Roman" w:cs="Times New Roman"/>
                <w:color w:val="000000"/>
                <w:sz w:val="18"/>
                <w:szCs w:val="18"/>
              </w:rPr>
              <w:t>'' (1 KG)</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356</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350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350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450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350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346</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367</w:t>
            </w:r>
          </w:p>
        </w:tc>
      </w:tr>
      <w:tr w:rsidR="005A5C89" w:rsidRPr="0058147B" w:rsidTr="003671B8">
        <w:trPr>
          <w:trHeight w:val="1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NOCIBE (1tonne)</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68 000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74 000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78 000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67 000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69 083</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70 792</w:t>
            </w:r>
          </w:p>
        </w:tc>
      </w:tr>
      <w:tr w:rsidR="005A5C89"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Ciment SCB Lafarge (1tonne)</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70 000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68 667</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74 000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78 000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67 000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69 000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71 111</w:t>
            </w:r>
          </w:p>
        </w:tc>
      </w:tr>
      <w:tr w:rsidR="005A5C89" w:rsidRPr="0058147B" w:rsidTr="003671B8">
        <w:trPr>
          <w:trHeight w:val="230"/>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8) (1tonne)</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520 000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492 916</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510 000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502 153</w:t>
            </w:r>
          </w:p>
        </w:tc>
      </w:tr>
      <w:tr w:rsidR="005A5C89" w:rsidRPr="0058147B" w:rsidTr="003671B8">
        <w:trPr>
          <w:trHeight w:val="375"/>
        </w:trPr>
        <w:tc>
          <w:tcPr>
            <w:tcW w:w="3535" w:type="dxa"/>
            <w:tcBorders>
              <w:top w:val="nil"/>
              <w:left w:val="single" w:sz="8" w:space="0" w:color="auto"/>
              <w:bottom w:val="single" w:sz="8" w:space="0" w:color="auto"/>
              <w:right w:val="single" w:sz="8" w:space="0" w:color="auto"/>
            </w:tcBorders>
            <w:shd w:val="clear" w:color="auto" w:fill="auto"/>
            <w:noWrap/>
            <w:vAlign w:val="bottom"/>
            <w:hideMark/>
          </w:tcPr>
          <w:p w:rsidR="005A5C89" w:rsidRPr="0058147B" w:rsidRDefault="005A5C89" w:rsidP="003671B8">
            <w:pPr>
              <w:rPr>
                <w:rFonts w:ascii="Times New Roman" w:hAnsi="Times New Roman" w:cs="Times New Roman"/>
                <w:color w:val="000000"/>
                <w:sz w:val="18"/>
                <w:szCs w:val="18"/>
              </w:rPr>
            </w:pPr>
            <w:r w:rsidRPr="0058147B">
              <w:rPr>
                <w:rFonts w:ascii="Times New Roman" w:hAnsi="Times New Roman" w:cs="Times New Roman"/>
                <w:color w:val="000000"/>
                <w:sz w:val="18"/>
                <w:szCs w:val="18"/>
              </w:rPr>
              <w:t>Fer à béton (barre de 10) (1tonne)</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520 000</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490 000</w:t>
            </w:r>
          </w:p>
        </w:tc>
        <w:tc>
          <w:tcPr>
            <w:tcW w:w="101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495 834</w:t>
            </w:r>
          </w:p>
        </w:tc>
        <w:tc>
          <w:tcPr>
            <w:tcW w:w="992"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510 000</w:t>
            </w:r>
          </w:p>
        </w:tc>
        <w:tc>
          <w:tcPr>
            <w:tcW w:w="91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510 000</w:t>
            </w:r>
          </w:p>
        </w:tc>
        <w:tc>
          <w:tcPr>
            <w:tcW w:w="991"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490 000</w:t>
            </w:r>
          </w:p>
        </w:tc>
        <w:tc>
          <w:tcPr>
            <w:tcW w:w="970" w:type="dxa"/>
            <w:tcBorders>
              <w:top w:val="nil"/>
              <w:left w:val="nil"/>
              <w:bottom w:val="single" w:sz="8" w:space="0" w:color="auto"/>
              <w:right w:val="single" w:sz="8" w:space="0" w:color="auto"/>
            </w:tcBorders>
            <w:shd w:val="clear" w:color="auto" w:fill="auto"/>
            <w:noWrap/>
            <w:vAlign w:val="center"/>
            <w:hideMark/>
          </w:tcPr>
          <w:p w:rsidR="005A5C89" w:rsidRPr="005A5C89" w:rsidRDefault="005A5C89">
            <w:pPr>
              <w:jc w:val="center"/>
              <w:rPr>
                <w:rFonts w:ascii="Times New Roman" w:hAnsi="Times New Roman" w:cs="Times New Roman"/>
                <w:color w:val="000000"/>
                <w:sz w:val="18"/>
                <w:szCs w:val="18"/>
              </w:rPr>
            </w:pPr>
            <w:r w:rsidRPr="005A5C89">
              <w:rPr>
                <w:rFonts w:ascii="Times New Roman" w:hAnsi="Times New Roman" w:cs="Times New Roman"/>
                <w:color w:val="000000"/>
                <w:sz w:val="18"/>
                <w:szCs w:val="18"/>
              </w:rPr>
              <w:t>502 639</w:t>
            </w:r>
          </w:p>
        </w:tc>
      </w:tr>
    </w:tbl>
    <w:p w:rsidR="003671B8" w:rsidRDefault="000814FF" w:rsidP="003671B8">
      <w:pPr>
        <w:ind w:left="-851"/>
        <w:rPr>
          <w:bCs/>
          <w:sz w:val="16"/>
          <w:szCs w:val="16"/>
        </w:rPr>
      </w:pPr>
      <w:r w:rsidRPr="000814FF">
        <w:rPr>
          <w:bCs/>
          <w:sz w:val="16"/>
          <w:szCs w:val="16"/>
        </w:rPr>
        <w:t xml:space="preserve">                       </w:t>
      </w:r>
      <w:r w:rsidR="003671B8" w:rsidRPr="00EF61AD">
        <w:rPr>
          <w:bCs/>
          <w:sz w:val="16"/>
          <w:szCs w:val="16"/>
          <w:u w:val="single"/>
        </w:rPr>
        <w:t>Source</w:t>
      </w:r>
      <w:r w:rsidR="003671B8">
        <w:rPr>
          <w:bCs/>
          <w:sz w:val="16"/>
          <w:szCs w:val="16"/>
          <w:u w:val="single"/>
        </w:rPr>
        <w:t>s</w:t>
      </w:r>
      <w:r w:rsidR="003671B8" w:rsidRPr="00E22F01">
        <w:rPr>
          <w:bCs/>
          <w:sz w:val="16"/>
          <w:szCs w:val="16"/>
        </w:rPr>
        <w:t> : DSS/INSAE</w:t>
      </w:r>
      <w:r w:rsidR="003671B8">
        <w:rPr>
          <w:bCs/>
          <w:sz w:val="16"/>
          <w:szCs w:val="16"/>
        </w:rPr>
        <w:t>-DDPD</w:t>
      </w:r>
      <w:r w:rsidR="003671B8" w:rsidRPr="00E22F01">
        <w:rPr>
          <w:bCs/>
          <w:sz w:val="16"/>
          <w:szCs w:val="16"/>
        </w:rPr>
        <w:t>,</w:t>
      </w:r>
      <w:r w:rsidR="00F22D57">
        <w:rPr>
          <w:bCs/>
          <w:sz w:val="16"/>
          <w:szCs w:val="16"/>
        </w:rPr>
        <w:t xml:space="preserve"> </w:t>
      </w:r>
      <w:r>
        <w:rPr>
          <w:bCs/>
          <w:sz w:val="16"/>
          <w:szCs w:val="16"/>
        </w:rPr>
        <w:t>mars</w:t>
      </w:r>
      <w:r w:rsidR="00F22D57">
        <w:rPr>
          <w:bCs/>
          <w:sz w:val="16"/>
          <w:szCs w:val="16"/>
        </w:rPr>
        <w:t xml:space="preserve"> 2021</w:t>
      </w:r>
    </w:p>
    <w:p w:rsidR="003671B8" w:rsidRDefault="003671B8" w:rsidP="003671B8">
      <w:pPr>
        <w:rPr>
          <w:bCs/>
          <w:sz w:val="16"/>
          <w:szCs w:val="16"/>
        </w:rPr>
      </w:pPr>
    </w:p>
    <w:p w:rsidR="003671B8"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t>Tableau 5</w:t>
      </w:r>
      <w:r w:rsidR="003671B8" w:rsidRPr="00EF65B5">
        <w:rPr>
          <w:rFonts w:ascii="Times New Roman" w:hAnsi="Times New Roman" w:cs="Times New Roman"/>
          <w:b/>
          <w:sz w:val="24"/>
          <w:szCs w:val="24"/>
        </w:rPr>
        <w:t> : Evolution du taux d’inflation dans les pays de l’UEMOA</w:t>
      </w:r>
    </w:p>
    <w:tbl>
      <w:tblPr>
        <w:tblW w:w="10512" w:type="dxa"/>
        <w:tblCellMar>
          <w:left w:w="70" w:type="dxa"/>
          <w:right w:w="70" w:type="dxa"/>
        </w:tblCellMar>
        <w:tblLook w:val="04A0" w:firstRow="1" w:lastRow="0" w:firstColumn="1" w:lastColumn="0" w:noHBand="0" w:noVBand="1"/>
      </w:tblPr>
      <w:tblGrid>
        <w:gridCol w:w="962"/>
        <w:gridCol w:w="820"/>
        <w:gridCol w:w="780"/>
        <w:gridCol w:w="705"/>
        <w:gridCol w:w="732"/>
        <w:gridCol w:w="749"/>
        <w:gridCol w:w="732"/>
        <w:gridCol w:w="776"/>
        <w:gridCol w:w="749"/>
        <w:gridCol w:w="571"/>
        <w:gridCol w:w="671"/>
        <w:gridCol w:w="653"/>
        <w:gridCol w:w="806"/>
        <w:gridCol w:w="806"/>
      </w:tblGrid>
      <w:tr w:rsidR="00FE17DC" w:rsidRPr="00EF0798" w:rsidTr="00FE17DC">
        <w:trPr>
          <w:trHeight w:val="330"/>
        </w:trPr>
        <w:tc>
          <w:tcPr>
            <w:tcW w:w="962" w:type="dxa"/>
            <w:tcBorders>
              <w:top w:val="double" w:sz="6" w:space="0" w:color="auto"/>
              <w:left w:val="nil"/>
              <w:bottom w:val="single" w:sz="8" w:space="0" w:color="auto"/>
              <w:right w:val="nil"/>
            </w:tcBorders>
            <w:shd w:val="clear" w:color="000000" w:fill="00FFFF"/>
            <w:vAlign w:val="bottom"/>
            <w:hideMark/>
          </w:tcPr>
          <w:p w:rsidR="00FE17DC" w:rsidRPr="00EF0798" w:rsidRDefault="00FE17DC"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 </w:t>
            </w:r>
          </w:p>
        </w:tc>
        <w:tc>
          <w:tcPr>
            <w:tcW w:w="820" w:type="dxa"/>
            <w:tcBorders>
              <w:top w:val="double" w:sz="6" w:space="0" w:color="auto"/>
              <w:left w:val="nil"/>
              <w:bottom w:val="single" w:sz="8" w:space="0" w:color="auto"/>
              <w:right w:val="nil"/>
            </w:tcBorders>
            <w:shd w:val="clear" w:color="000000" w:fill="00FFFF"/>
            <w:vAlign w:val="bottom"/>
            <w:hideMark/>
          </w:tcPr>
          <w:p w:rsidR="00FE17DC" w:rsidRPr="00EF0798" w:rsidRDefault="00FE17DC" w:rsidP="003671B8">
            <w:pPr>
              <w:jc w:val="center"/>
              <w:rPr>
                <w:rFonts w:ascii="Times New Roman" w:hAnsi="Times New Roman" w:cs="Times New Roman"/>
                <w:b/>
                <w:bCs/>
                <w:sz w:val="16"/>
                <w:szCs w:val="16"/>
              </w:rPr>
            </w:pPr>
            <w:r w:rsidRPr="00EF0798">
              <w:rPr>
                <w:rFonts w:ascii="Times New Roman" w:hAnsi="Times New Roman" w:cs="Times New Roman"/>
                <w:b/>
                <w:bCs/>
                <w:sz w:val="16"/>
                <w:szCs w:val="16"/>
              </w:rPr>
              <w:t>Poids</w:t>
            </w:r>
          </w:p>
        </w:tc>
        <w:tc>
          <w:tcPr>
            <w:tcW w:w="780" w:type="dxa"/>
            <w:tcBorders>
              <w:top w:val="double" w:sz="6" w:space="0" w:color="auto"/>
              <w:left w:val="nil"/>
              <w:bottom w:val="single" w:sz="8" w:space="0" w:color="auto"/>
              <w:right w:val="nil"/>
            </w:tcBorders>
            <w:shd w:val="clear" w:color="000000" w:fill="00FFFF"/>
            <w:vAlign w:val="bottom"/>
            <w:hideMark/>
          </w:tcPr>
          <w:p w:rsidR="00FE17DC" w:rsidRPr="00FE17DC" w:rsidRDefault="00FE17DC"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mars-20</w:t>
            </w:r>
          </w:p>
        </w:tc>
        <w:tc>
          <w:tcPr>
            <w:tcW w:w="705" w:type="dxa"/>
            <w:tcBorders>
              <w:top w:val="double" w:sz="6" w:space="0" w:color="auto"/>
              <w:left w:val="nil"/>
              <w:bottom w:val="single" w:sz="8" w:space="0" w:color="auto"/>
              <w:right w:val="nil"/>
            </w:tcBorders>
            <w:shd w:val="clear" w:color="000000" w:fill="00FFFF"/>
            <w:vAlign w:val="bottom"/>
            <w:hideMark/>
          </w:tcPr>
          <w:p w:rsidR="00FE17DC" w:rsidRPr="00FE17DC" w:rsidRDefault="00FE17DC"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avr.-20</w:t>
            </w:r>
          </w:p>
        </w:tc>
        <w:tc>
          <w:tcPr>
            <w:tcW w:w="732" w:type="dxa"/>
            <w:tcBorders>
              <w:top w:val="double" w:sz="6" w:space="0" w:color="auto"/>
              <w:left w:val="nil"/>
              <w:bottom w:val="single" w:sz="8" w:space="0" w:color="auto"/>
              <w:right w:val="nil"/>
            </w:tcBorders>
            <w:shd w:val="clear" w:color="000000" w:fill="00FFFF"/>
            <w:vAlign w:val="bottom"/>
            <w:hideMark/>
          </w:tcPr>
          <w:p w:rsidR="00FE17DC" w:rsidRPr="00FE17DC" w:rsidRDefault="00FE17DC"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mai.-20</w:t>
            </w:r>
          </w:p>
        </w:tc>
        <w:tc>
          <w:tcPr>
            <w:tcW w:w="749" w:type="dxa"/>
            <w:tcBorders>
              <w:top w:val="double" w:sz="6" w:space="0" w:color="auto"/>
              <w:left w:val="nil"/>
              <w:bottom w:val="single" w:sz="8" w:space="0" w:color="auto"/>
              <w:right w:val="nil"/>
            </w:tcBorders>
            <w:shd w:val="clear" w:color="000000" w:fill="00FFFF"/>
            <w:vAlign w:val="bottom"/>
            <w:hideMark/>
          </w:tcPr>
          <w:p w:rsidR="00FE17DC" w:rsidRPr="00FE17DC" w:rsidRDefault="00FE17DC"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juin.-20</w:t>
            </w:r>
          </w:p>
        </w:tc>
        <w:tc>
          <w:tcPr>
            <w:tcW w:w="732" w:type="dxa"/>
            <w:tcBorders>
              <w:top w:val="double" w:sz="6" w:space="0" w:color="auto"/>
              <w:left w:val="nil"/>
              <w:bottom w:val="single" w:sz="8" w:space="0" w:color="auto"/>
              <w:right w:val="nil"/>
            </w:tcBorders>
            <w:shd w:val="clear" w:color="000000" w:fill="00FFFF"/>
            <w:vAlign w:val="bottom"/>
            <w:hideMark/>
          </w:tcPr>
          <w:p w:rsidR="00FE17DC" w:rsidRPr="00FE17DC" w:rsidRDefault="00FE17DC"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juil.-20</w:t>
            </w:r>
          </w:p>
        </w:tc>
        <w:tc>
          <w:tcPr>
            <w:tcW w:w="776" w:type="dxa"/>
            <w:tcBorders>
              <w:top w:val="double" w:sz="6" w:space="0" w:color="auto"/>
              <w:left w:val="nil"/>
              <w:bottom w:val="single" w:sz="8" w:space="0" w:color="auto"/>
              <w:right w:val="nil"/>
            </w:tcBorders>
            <w:shd w:val="clear" w:color="000000" w:fill="00FFFF"/>
          </w:tcPr>
          <w:p w:rsidR="00FE17DC" w:rsidRPr="00FE17DC" w:rsidRDefault="00FE17DC" w:rsidP="003671B8">
            <w:pPr>
              <w:jc w:val="center"/>
              <w:rPr>
                <w:rFonts w:ascii="Times New Roman" w:hAnsi="Times New Roman" w:cs="Times New Roman"/>
                <w:b/>
                <w:bCs/>
                <w:sz w:val="16"/>
                <w:szCs w:val="16"/>
              </w:rPr>
            </w:pPr>
          </w:p>
          <w:p w:rsidR="00FE17DC" w:rsidRPr="00FE17DC" w:rsidRDefault="00FE17DC"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août.-20</w:t>
            </w:r>
          </w:p>
        </w:tc>
        <w:tc>
          <w:tcPr>
            <w:tcW w:w="749" w:type="dxa"/>
            <w:tcBorders>
              <w:top w:val="double" w:sz="6" w:space="0" w:color="auto"/>
              <w:left w:val="nil"/>
              <w:bottom w:val="single" w:sz="8" w:space="0" w:color="auto"/>
              <w:right w:val="nil"/>
            </w:tcBorders>
            <w:shd w:val="clear" w:color="000000" w:fill="00FFFF"/>
          </w:tcPr>
          <w:p w:rsidR="00FE17DC" w:rsidRPr="00FE17DC" w:rsidRDefault="00FE17DC" w:rsidP="003671B8">
            <w:pPr>
              <w:jc w:val="center"/>
              <w:rPr>
                <w:rFonts w:ascii="Times New Roman" w:hAnsi="Times New Roman" w:cs="Times New Roman"/>
                <w:b/>
                <w:bCs/>
                <w:sz w:val="16"/>
                <w:szCs w:val="16"/>
              </w:rPr>
            </w:pPr>
          </w:p>
          <w:p w:rsidR="00FE17DC" w:rsidRPr="00FE17DC" w:rsidRDefault="00FE17DC"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sept.-20</w:t>
            </w:r>
          </w:p>
        </w:tc>
        <w:tc>
          <w:tcPr>
            <w:tcW w:w="571" w:type="dxa"/>
            <w:tcBorders>
              <w:top w:val="double" w:sz="6" w:space="0" w:color="auto"/>
              <w:left w:val="nil"/>
              <w:bottom w:val="single" w:sz="8" w:space="0" w:color="auto"/>
              <w:right w:val="nil"/>
            </w:tcBorders>
            <w:shd w:val="clear" w:color="000000" w:fill="00FFFF"/>
          </w:tcPr>
          <w:p w:rsidR="00FE17DC" w:rsidRPr="00FE17DC" w:rsidRDefault="00FE17DC" w:rsidP="003671B8">
            <w:pPr>
              <w:jc w:val="center"/>
              <w:rPr>
                <w:rFonts w:ascii="Times New Roman" w:hAnsi="Times New Roman" w:cs="Times New Roman"/>
                <w:b/>
                <w:bCs/>
                <w:sz w:val="16"/>
                <w:szCs w:val="16"/>
              </w:rPr>
            </w:pPr>
          </w:p>
          <w:p w:rsidR="00FE17DC" w:rsidRPr="00FE17DC" w:rsidRDefault="00FE17DC"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oct.20</w:t>
            </w:r>
          </w:p>
        </w:tc>
        <w:tc>
          <w:tcPr>
            <w:tcW w:w="671" w:type="dxa"/>
            <w:tcBorders>
              <w:top w:val="double" w:sz="6" w:space="0" w:color="auto"/>
              <w:left w:val="nil"/>
              <w:bottom w:val="single" w:sz="8" w:space="0" w:color="auto"/>
              <w:right w:val="nil"/>
            </w:tcBorders>
            <w:shd w:val="clear" w:color="000000" w:fill="00FFFF"/>
          </w:tcPr>
          <w:p w:rsidR="00FE17DC" w:rsidRPr="00FE17DC" w:rsidRDefault="00FE17DC" w:rsidP="003671B8">
            <w:pPr>
              <w:jc w:val="center"/>
              <w:rPr>
                <w:rFonts w:ascii="Times New Roman" w:hAnsi="Times New Roman" w:cs="Times New Roman"/>
                <w:b/>
                <w:bCs/>
                <w:sz w:val="16"/>
                <w:szCs w:val="16"/>
              </w:rPr>
            </w:pPr>
          </w:p>
          <w:p w:rsidR="00FE17DC" w:rsidRPr="00FE17DC" w:rsidRDefault="00FE17DC" w:rsidP="003671B8">
            <w:pPr>
              <w:jc w:val="center"/>
              <w:rPr>
                <w:rFonts w:ascii="Times New Roman" w:hAnsi="Times New Roman" w:cs="Times New Roman"/>
                <w:b/>
                <w:bCs/>
                <w:sz w:val="16"/>
                <w:szCs w:val="16"/>
              </w:rPr>
            </w:pPr>
            <w:r w:rsidRPr="00FE17DC">
              <w:rPr>
                <w:rFonts w:ascii="Times New Roman" w:hAnsi="Times New Roman" w:cs="Times New Roman"/>
                <w:b/>
                <w:bCs/>
                <w:sz w:val="16"/>
                <w:szCs w:val="16"/>
              </w:rPr>
              <w:t>nov.-20</w:t>
            </w:r>
          </w:p>
        </w:tc>
        <w:tc>
          <w:tcPr>
            <w:tcW w:w="653" w:type="dxa"/>
            <w:tcBorders>
              <w:top w:val="double" w:sz="6" w:space="0" w:color="auto"/>
              <w:left w:val="nil"/>
              <w:bottom w:val="single" w:sz="8" w:space="0" w:color="auto"/>
              <w:right w:val="nil"/>
            </w:tcBorders>
            <w:shd w:val="clear" w:color="000000" w:fill="00FFFF"/>
          </w:tcPr>
          <w:p w:rsidR="00FE17DC" w:rsidRPr="00FE17DC" w:rsidRDefault="00FE17DC" w:rsidP="003671B8">
            <w:pPr>
              <w:jc w:val="center"/>
              <w:rPr>
                <w:rFonts w:ascii="Times New Roman" w:hAnsi="Times New Roman" w:cs="Times New Roman"/>
                <w:b/>
                <w:bCs/>
                <w:sz w:val="16"/>
                <w:szCs w:val="16"/>
              </w:rPr>
            </w:pPr>
          </w:p>
          <w:p w:rsidR="00FE17DC" w:rsidRPr="00FE17DC" w:rsidRDefault="00FE17DC" w:rsidP="00A00B1E">
            <w:pPr>
              <w:rPr>
                <w:rFonts w:ascii="Times New Roman" w:hAnsi="Times New Roman" w:cs="Times New Roman"/>
                <w:b/>
                <w:bCs/>
                <w:sz w:val="16"/>
                <w:szCs w:val="16"/>
              </w:rPr>
            </w:pPr>
            <w:r w:rsidRPr="00FE17DC">
              <w:rPr>
                <w:rFonts w:ascii="Times New Roman" w:hAnsi="Times New Roman" w:cs="Times New Roman"/>
                <w:b/>
                <w:bCs/>
                <w:sz w:val="16"/>
                <w:szCs w:val="16"/>
              </w:rPr>
              <w:t>déc.-20</w:t>
            </w:r>
          </w:p>
        </w:tc>
        <w:tc>
          <w:tcPr>
            <w:tcW w:w="806" w:type="dxa"/>
            <w:tcBorders>
              <w:top w:val="double" w:sz="6" w:space="0" w:color="auto"/>
              <w:left w:val="nil"/>
              <w:bottom w:val="single" w:sz="8" w:space="0" w:color="auto"/>
              <w:right w:val="nil"/>
            </w:tcBorders>
            <w:shd w:val="clear" w:color="000000" w:fill="00FFFF"/>
            <w:vAlign w:val="bottom"/>
          </w:tcPr>
          <w:p w:rsidR="00FE17DC" w:rsidRPr="00FE17DC" w:rsidRDefault="00FE17DC" w:rsidP="007A45A1">
            <w:pPr>
              <w:jc w:val="center"/>
              <w:rPr>
                <w:rFonts w:ascii="Times New Roman" w:hAnsi="Times New Roman" w:cs="Times New Roman"/>
                <w:b/>
                <w:bCs/>
                <w:sz w:val="16"/>
                <w:szCs w:val="16"/>
              </w:rPr>
            </w:pPr>
            <w:r w:rsidRPr="00FE17DC">
              <w:rPr>
                <w:rFonts w:ascii="Times New Roman" w:hAnsi="Times New Roman" w:cs="Times New Roman"/>
                <w:b/>
                <w:bCs/>
                <w:sz w:val="16"/>
                <w:szCs w:val="16"/>
              </w:rPr>
              <w:t>janv.-21</w:t>
            </w:r>
          </w:p>
        </w:tc>
        <w:tc>
          <w:tcPr>
            <w:tcW w:w="806" w:type="dxa"/>
            <w:tcBorders>
              <w:top w:val="double" w:sz="6" w:space="0" w:color="auto"/>
              <w:left w:val="nil"/>
              <w:bottom w:val="single" w:sz="8" w:space="0" w:color="auto"/>
              <w:right w:val="nil"/>
            </w:tcBorders>
            <w:shd w:val="clear" w:color="000000" w:fill="00FFFF"/>
          </w:tcPr>
          <w:p w:rsidR="00FE17DC" w:rsidRPr="00FE17DC" w:rsidRDefault="00FE17DC" w:rsidP="007A45A1">
            <w:pPr>
              <w:jc w:val="center"/>
              <w:rPr>
                <w:rFonts w:ascii="Times New Roman" w:hAnsi="Times New Roman" w:cs="Times New Roman"/>
                <w:b/>
                <w:bCs/>
                <w:sz w:val="16"/>
                <w:szCs w:val="16"/>
              </w:rPr>
            </w:pPr>
          </w:p>
          <w:p w:rsidR="00FE17DC" w:rsidRPr="00FE17DC" w:rsidRDefault="00FE17DC" w:rsidP="007A45A1">
            <w:pPr>
              <w:jc w:val="center"/>
              <w:rPr>
                <w:rFonts w:ascii="Times New Roman" w:hAnsi="Times New Roman" w:cs="Times New Roman"/>
                <w:b/>
                <w:bCs/>
                <w:sz w:val="16"/>
                <w:szCs w:val="16"/>
              </w:rPr>
            </w:pPr>
            <w:r w:rsidRPr="00FE17DC">
              <w:rPr>
                <w:rFonts w:ascii="Times New Roman" w:hAnsi="Times New Roman" w:cs="Times New Roman"/>
                <w:b/>
                <w:bCs/>
                <w:sz w:val="16"/>
                <w:szCs w:val="16"/>
              </w:rPr>
              <w:t>fév.-21</w:t>
            </w:r>
          </w:p>
        </w:tc>
      </w:tr>
      <w:tr w:rsidR="00FE17DC" w:rsidRPr="00EF0798" w:rsidTr="000456E0">
        <w:trPr>
          <w:trHeight w:val="300"/>
        </w:trPr>
        <w:tc>
          <w:tcPr>
            <w:tcW w:w="962" w:type="dxa"/>
            <w:tcBorders>
              <w:top w:val="nil"/>
              <w:left w:val="nil"/>
              <w:bottom w:val="nil"/>
              <w:right w:val="nil"/>
            </w:tcBorders>
            <w:shd w:val="clear" w:color="auto" w:fill="auto"/>
            <w:noWrap/>
            <w:vAlign w:val="bottom"/>
            <w:hideMark/>
          </w:tcPr>
          <w:p w:rsidR="00FE17DC" w:rsidRPr="00EF0798" w:rsidRDefault="00FE17DC"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BENIN</w:t>
            </w:r>
          </w:p>
        </w:tc>
        <w:tc>
          <w:tcPr>
            <w:tcW w:w="820" w:type="dxa"/>
            <w:tcBorders>
              <w:top w:val="nil"/>
              <w:left w:val="nil"/>
              <w:bottom w:val="nil"/>
              <w:right w:val="nil"/>
            </w:tcBorders>
            <w:shd w:val="clear" w:color="auto" w:fill="auto"/>
            <w:vAlign w:val="bottom"/>
            <w:hideMark/>
          </w:tcPr>
          <w:p w:rsidR="00FE17DC" w:rsidRPr="00EF0798" w:rsidRDefault="00FE17DC"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760</w:t>
            </w:r>
          </w:p>
        </w:tc>
        <w:tc>
          <w:tcPr>
            <w:tcW w:w="780"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-0,4</w:t>
            </w:r>
          </w:p>
        </w:tc>
        <w:tc>
          <w:tcPr>
            <w:tcW w:w="705"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0,0</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0,2</w:t>
            </w:r>
          </w:p>
        </w:tc>
        <w:tc>
          <w:tcPr>
            <w:tcW w:w="749"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76"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49"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2,5</w:t>
            </w:r>
          </w:p>
        </w:tc>
        <w:tc>
          <w:tcPr>
            <w:tcW w:w="5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2,9</w:t>
            </w:r>
          </w:p>
        </w:tc>
        <w:tc>
          <w:tcPr>
            <w:tcW w:w="6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3,0</w:t>
            </w:r>
          </w:p>
        </w:tc>
        <w:tc>
          <w:tcPr>
            <w:tcW w:w="653" w:type="dxa"/>
            <w:tcBorders>
              <w:top w:val="nil"/>
              <w:left w:val="nil"/>
              <w:bottom w:val="nil"/>
              <w:right w:val="nil"/>
            </w:tcBorders>
            <w:vAlign w:val="bottom"/>
          </w:tcPr>
          <w:p w:rsidR="00FE17DC" w:rsidRPr="00FC3DC3" w:rsidRDefault="00FE17DC"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3,0</w:t>
            </w:r>
          </w:p>
        </w:tc>
        <w:tc>
          <w:tcPr>
            <w:tcW w:w="806" w:type="dxa"/>
            <w:tcBorders>
              <w:top w:val="nil"/>
              <w:left w:val="nil"/>
              <w:bottom w:val="nil"/>
              <w:right w:val="nil"/>
            </w:tcBorders>
            <w:vAlign w:val="bottom"/>
          </w:tcPr>
          <w:p w:rsidR="00FE17DC" w:rsidRPr="000730D0" w:rsidRDefault="00FE17DC"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2,9</w:t>
            </w:r>
          </w:p>
        </w:tc>
        <w:tc>
          <w:tcPr>
            <w:tcW w:w="806" w:type="dxa"/>
            <w:tcBorders>
              <w:top w:val="nil"/>
              <w:left w:val="nil"/>
              <w:bottom w:val="nil"/>
              <w:right w:val="nil"/>
            </w:tcBorders>
            <w:vAlign w:val="bottom"/>
          </w:tcPr>
          <w:p w:rsidR="00FE17DC" w:rsidRPr="00FE17DC" w:rsidRDefault="00FE17DC" w:rsidP="00FE17DC">
            <w:pPr>
              <w:jc w:val="right"/>
              <w:rPr>
                <w:rFonts w:ascii="Times New Roman" w:hAnsi="Times New Roman" w:cs="Times New Roman"/>
                <w:sz w:val="16"/>
                <w:szCs w:val="16"/>
              </w:rPr>
            </w:pPr>
            <w:r w:rsidRPr="00FE17DC">
              <w:rPr>
                <w:rFonts w:ascii="Times New Roman" w:hAnsi="Times New Roman" w:cs="Times New Roman"/>
                <w:sz w:val="16"/>
                <w:szCs w:val="16"/>
              </w:rPr>
              <w:t>2,5</w:t>
            </w:r>
          </w:p>
        </w:tc>
      </w:tr>
      <w:tr w:rsidR="00FE17DC" w:rsidRPr="00EF0798" w:rsidTr="000456E0">
        <w:trPr>
          <w:trHeight w:val="300"/>
        </w:trPr>
        <w:tc>
          <w:tcPr>
            <w:tcW w:w="962" w:type="dxa"/>
            <w:tcBorders>
              <w:top w:val="nil"/>
              <w:left w:val="nil"/>
              <w:bottom w:val="nil"/>
              <w:right w:val="nil"/>
            </w:tcBorders>
            <w:shd w:val="clear" w:color="auto" w:fill="auto"/>
            <w:noWrap/>
            <w:vAlign w:val="bottom"/>
            <w:hideMark/>
          </w:tcPr>
          <w:p w:rsidR="00FE17DC" w:rsidRPr="00EF0798" w:rsidRDefault="00FE17DC"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BURKINA</w:t>
            </w:r>
          </w:p>
        </w:tc>
        <w:tc>
          <w:tcPr>
            <w:tcW w:w="820" w:type="dxa"/>
            <w:tcBorders>
              <w:top w:val="nil"/>
              <w:left w:val="nil"/>
              <w:bottom w:val="nil"/>
              <w:right w:val="nil"/>
            </w:tcBorders>
            <w:shd w:val="clear" w:color="auto" w:fill="auto"/>
            <w:vAlign w:val="bottom"/>
            <w:hideMark/>
          </w:tcPr>
          <w:p w:rsidR="00FE17DC" w:rsidRPr="00EF0798" w:rsidRDefault="00FE17DC"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1258</w:t>
            </w:r>
          </w:p>
        </w:tc>
        <w:tc>
          <w:tcPr>
            <w:tcW w:w="780"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-2,9</w:t>
            </w:r>
          </w:p>
        </w:tc>
        <w:tc>
          <w:tcPr>
            <w:tcW w:w="705"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-2,7</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-2,4</w:t>
            </w:r>
          </w:p>
        </w:tc>
        <w:tc>
          <w:tcPr>
            <w:tcW w:w="749"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776"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49"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5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0,8</w:t>
            </w:r>
          </w:p>
        </w:tc>
        <w:tc>
          <w:tcPr>
            <w:tcW w:w="6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c>
          <w:tcPr>
            <w:tcW w:w="653" w:type="dxa"/>
            <w:tcBorders>
              <w:top w:val="nil"/>
              <w:left w:val="nil"/>
              <w:bottom w:val="nil"/>
              <w:right w:val="nil"/>
            </w:tcBorders>
            <w:vAlign w:val="bottom"/>
          </w:tcPr>
          <w:p w:rsidR="00FE17DC" w:rsidRPr="00FC3DC3" w:rsidRDefault="00FE17DC"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1,9</w:t>
            </w:r>
          </w:p>
        </w:tc>
        <w:tc>
          <w:tcPr>
            <w:tcW w:w="806" w:type="dxa"/>
            <w:tcBorders>
              <w:top w:val="nil"/>
              <w:left w:val="nil"/>
              <w:bottom w:val="nil"/>
              <w:right w:val="nil"/>
            </w:tcBorders>
            <w:vAlign w:val="bottom"/>
          </w:tcPr>
          <w:p w:rsidR="00FE17DC" w:rsidRPr="000730D0" w:rsidRDefault="00FE17DC"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2,2</w:t>
            </w:r>
          </w:p>
        </w:tc>
        <w:tc>
          <w:tcPr>
            <w:tcW w:w="806" w:type="dxa"/>
            <w:tcBorders>
              <w:top w:val="nil"/>
              <w:left w:val="nil"/>
              <w:bottom w:val="nil"/>
              <w:right w:val="nil"/>
            </w:tcBorders>
            <w:vAlign w:val="bottom"/>
          </w:tcPr>
          <w:p w:rsidR="00FE17DC" w:rsidRPr="00FE17DC" w:rsidRDefault="00FE17DC" w:rsidP="00FE17DC">
            <w:pPr>
              <w:jc w:val="right"/>
              <w:rPr>
                <w:rFonts w:ascii="Times New Roman" w:hAnsi="Times New Roman" w:cs="Times New Roman"/>
                <w:sz w:val="16"/>
                <w:szCs w:val="16"/>
              </w:rPr>
            </w:pPr>
            <w:r w:rsidRPr="00FE17DC">
              <w:rPr>
                <w:rFonts w:ascii="Times New Roman" w:hAnsi="Times New Roman" w:cs="Times New Roman"/>
                <w:sz w:val="16"/>
                <w:szCs w:val="16"/>
              </w:rPr>
              <w:t>2,3</w:t>
            </w:r>
          </w:p>
        </w:tc>
      </w:tr>
      <w:tr w:rsidR="00FE17DC" w:rsidRPr="00EF0798" w:rsidTr="000456E0">
        <w:trPr>
          <w:trHeight w:val="300"/>
        </w:trPr>
        <w:tc>
          <w:tcPr>
            <w:tcW w:w="962" w:type="dxa"/>
            <w:tcBorders>
              <w:top w:val="nil"/>
              <w:left w:val="nil"/>
              <w:bottom w:val="nil"/>
              <w:right w:val="nil"/>
            </w:tcBorders>
            <w:shd w:val="clear" w:color="auto" w:fill="auto"/>
            <w:noWrap/>
            <w:vAlign w:val="bottom"/>
            <w:hideMark/>
          </w:tcPr>
          <w:p w:rsidR="00FE17DC" w:rsidRPr="00EF0798" w:rsidRDefault="00FE17DC"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COTE D'IVOIRE</w:t>
            </w:r>
          </w:p>
        </w:tc>
        <w:tc>
          <w:tcPr>
            <w:tcW w:w="820" w:type="dxa"/>
            <w:tcBorders>
              <w:top w:val="nil"/>
              <w:left w:val="nil"/>
              <w:bottom w:val="nil"/>
              <w:right w:val="nil"/>
            </w:tcBorders>
            <w:shd w:val="clear" w:color="auto" w:fill="auto"/>
            <w:vAlign w:val="bottom"/>
            <w:hideMark/>
          </w:tcPr>
          <w:p w:rsidR="00FE17DC" w:rsidRPr="00EF0798" w:rsidRDefault="00FE17DC"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3131</w:t>
            </w:r>
          </w:p>
        </w:tc>
        <w:tc>
          <w:tcPr>
            <w:tcW w:w="780"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1,2</w:t>
            </w:r>
          </w:p>
        </w:tc>
        <w:tc>
          <w:tcPr>
            <w:tcW w:w="705"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1,5</w:t>
            </w:r>
          </w:p>
        </w:tc>
        <w:tc>
          <w:tcPr>
            <w:tcW w:w="749"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776"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49"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5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6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53" w:type="dxa"/>
            <w:tcBorders>
              <w:top w:val="nil"/>
              <w:left w:val="nil"/>
              <w:bottom w:val="nil"/>
              <w:right w:val="nil"/>
            </w:tcBorders>
            <w:vAlign w:val="bottom"/>
          </w:tcPr>
          <w:p w:rsidR="00FE17DC" w:rsidRPr="00FC3DC3" w:rsidRDefault="00FE17DC"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2,4</w:t>
            </w:r>
          </w:p>
        </w:tc>
        <w:tc>
          <w:tcPr>
            <w:tcW w:w="806" w:type="dxa"/>
            <w:tcBorders>
              <w:top w:val="nil"/>
              <w:left w:val="nil"/>
              <w:bottom w:val="nil"/>
              <w:right w:val="nil"/>
            </w:tcBorders>
            <w:vAlign w:val="bottom"/>
          </w:tcPr>
          <w:p w:rsidR="00FE17DC" w:rsidRPr="000730D0" w:rsidRDefault="00FE17DC"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2,4</w:t>
            </w:r>
          </w:p>
        </w:tc>
        <w:tc>
          <w:tcPr>
            <w:tcW w:w="806" w:type="dxa"/>
            <w:tcBorders>
              <w:top w:val="nil"/>
              <w:left w:val="nil"/>
              <w:bottom w:val="nil"/>
              <w:right w:val="nil"/>
            </w:tcBorders>
            <w:vAlign w:val="bottom"/>
          </w:tcPr>
          <w:p w:rsidR="00FE17DC" w:rsidRPr="00FE17DC" w:rsidRDefault="00FE17DC" w:rsidP="00FE17DC">
            <w:pPr>
              <w:jc w:val="right"/>
              <w:rPr>
                <w:rFonts w:ascii="Times New Roman" w:hAnsi="Times New Roman" w:cs="Times New Roman"/>
                <w:sz w:val="16"/>
                <w:szCs w:val="16"/>
              </w:rPr>
            </w:pPr>
            <w:r w:rsidRPr="00FE17DC">
              <w:rPr>
                <w:rFonts w:ascii="Times New Roman" w:hAnsi="Times New Roman" w:cs="Times New Roman"/>
                <w:sz w:val="16"/>
                <w:szCs w:val="16"/>
              </w:rPr>
              <w:t>2,5</w:t>
            </w:r>
          </w:p>
        </w:tc>
      </w:tr>
      <w:tr w:rsidR="00FE17DC" w:rsidRPr="00EF0798" w:rsidTr="000456E0">
        <w:trPr>
          <w:trHeight w:val="300"/>
        </w:trPr>
        <w:tc>
          <w:tcPr>
            <w:tcW w:w="962" w:type="dxa"/>
            <w:tcBorders>
              <w:top w:val="nil"/>
              <w:left w:val="nil"/>
              <w:bottom w:val="nil"/>
              <w:right w:val="nil"/>
            </w:tcBorders>
            <w:shd w:val="clear" w:color="auto" w:fill="auto"/>
            <w:noWrap/>
            <w:vAlign w:val="bottom"/>
            <w:hideMark/>
          </w:tcPr>
          <w:p w:rsidR="00FE17DC" w:rsidRPr="00EF0798" w:rsidRDefault="00FE17DC"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GUINNEE-BISSAU</w:t>
            </w:r>
          </w:p>
        </w:tc>
        <w:tc>
          <w:tcPr>
            <w:tcW w:w="820" w:type="dxa"/>
            <w:tcBorders>
              <w:top w:val="nil"/>
              <w:left w:val="nil"/>
              <w:bottom w:val="nil"/>
              <w:right w:val="nil"/>
            </w:tcBorders>
            <w:shd w:val="clear" w:color="auto" w:fill="auto"/>
            <w:vAlign w:val="bottom"/>
            <w:hideMark/>
          </w:tcPr>
          <w:p w:rsidR="00FE17DC" w:rsidRPr="00EF0798" w:rsidRDefault="00FE17DC"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141</w:t>
            </w:r>
          </w:p>
        </w:tc>
        <w:tc>
          <w:tcPr>
            <w:tcW w:w="780"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-0,3</w:t>
            </w:r>
          </w:p>
        </w:tc>
        <w:tc>
          <w:tcPr>
            <w:tcW w:w="705"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0,3</w:t>
            </w:r>
          </w:p>
        </w:tc>
        <w:tc>
          <w:tcPr>
            <w:tcW w:w="749"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76"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49"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1,0</w:t>
            </w:r>
          </w:p>
        </w:tc>
        <w:tc>
          <w:tcPr>
            <w:tcW w:w="5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1,2</w:t>
            </w:r>
          </w:p>
        </w:tc>
        <w:tc>
          <w:tcPr>
            <w:tcW w:w="6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653" w:type="dxa"/>
            <w:tcBorders>
              <w:top w:val="nil"/>
              <w:left w:val="nil"/>
              <w:bottom w:val="nil"/>
              <w:right w:val="nil"/>
            </w:tcBorders>
            <w:vAlign w:val="bottom"/>
          </w:tcPr>
          <w:p w:rsidR="00FE17DC" w:rsidRPr="00FC3DC3" w:rsidRDefault="00FE17DC"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1,5</w:t>
            </w:r>
          </w:p>
        </w:tc>
        <w:tc>
          <w:tcPr>
            <w:tcW w:w="806" w:type="dxa"/>
            <w:tcBorders>
              <w:top w:val="nil"/>
              <w:left w:val="nil"/>
              <w:bottom w:val="nil"/>
              <w:right w:val="nil"/>
            </w:tcBorders>
            <w:vAlign w:val="bottom"/>
          </w:tcPr>
          <w:p w:rsidR="00FE17DC" w:rsidRPr="000730D0" w:rsidRDefault="00FE17DC"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1,7</w:t>
            </w:r>
          </w:p>
        </w:tc>
        <w:tc>
          <w:tcPr>
            <w:tcW w:w="806" w:type="dxa"/>
            <w:tcBorders>
              <w:top w:val="nil"/>
              <w:left w:val="nil"/>
              <w:bottom w:val="nil"/>
              <w:right w:val="nil"/>
            </w:tcBorders>
            <w:vAlign w:val="bottom"/>
          </w:tcPr>
          <w:p w:rsidR="00FE17DC" w:rsidRPr="00FE17DC" w:rsidRDefault="00FE17DC" w:rsidP="00FE17DC">
            <w:pPr>
              <w:jc w:val="right"/>
              <w:rPr>
                <w:rFonts w:ascii="Times New Roman" w:hAnsi="Times New Roman" w:cs="Times New Roman"/>
                <w:sz w:val="16"/>
                <w:szCs w:val="16"/>
              </w:rPr>
            </w:pPr>
            <w:r w:rsidRPr="00FE17DC">
              <w:rPr>
                <w:rFonts w:ascii="Times New Roman" w:hAnsi="Times New Roman" w:cs="Times New Roman"/>
                <w:sz w:val="16"/>
                <w:szCs w:val="16"/>
              </w:rPr>
              <w:t>1,8</w:t>
            </w:r>
          </w:p>
        </w:tc>
      </w:tr>
      <w:tr w:rsidR="00FE17DC" w:rsidRPr="00EF0798" w:rsidTr="000456E0">
        <w:trPr>
          <w:trHeight w:val="300"/>
        </w:trPr>
        <w:tc>
          <w:tcPr>
            <w:tcW w:w="962" w:type="dxa"/>
            <w:tcBorders>
              <w:top w:val="nil"/>
              <w:left w:val="nil"/>
              <w:bottom w:val="nil"/>
              <w:right w:val="nil"/>
            </w:tcBorders>
            <w:shd w:val="clear" w:color="auto" w:fill="auto"/>
            <w:noWrap/>
            <w:vAlign w:val="bottom"/>
            <w:hideMark/>
          </w:tcPr>
          <w:p w:rsidR="00FE17DC" w:rsidRPr="00EF0798" w:rsidRDefault="00FE17DC"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MALI</w:t>
            </w:r>
          </w:p>
        </w:tc>
        <w:tc>
          <w:tcPr>
            <w:tcW w:w="820" w:type="dxa"/>
            <w:tcBorders>
              <w:top w:val="nil"/>
              <w:left w:val="nil"/>
              <w:bottom w:val="nil"/>
              <w:right w:val="nil"/>
            </w:tcBorders>
            <w:shd w:val="clear" w:color="auto" w:fill="auto"/>
            <w:vAlign w:val="bottom"/>
            <w:hideMark/>
          </w:tcPr>
          <w:p w:rsidR="00FE17DC" w:rsidRPr="00EF0798" w:rsidRDefault="00FE17DC"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1428</w:t>
            </w:r>
          </w:p>
        </w:tc>
        <w:tc>
          <w:tcPr>
            <w:tcW w:w="780"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705"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-1,8</w:t>
            </w:r>
          </w:p>
        </w:tc>
        <w:tc>
          <w:tcPr>
            <w:tcW w:w="749"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76"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49"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5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-0,4</w:t>
            </w:r>
          </w:p>
        </w:tc>
        <w:tc>
          <w:tcPr>
            <w:tcW w:w="6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0,1</w:t>
            </w:r>
          </w:p>
        </w:tc>
        <w:tc>
          <w:tcPr>
            <w:tcW w:w="653" w:type="dxa"/>
            <w:tcBorders>
              <w:top w:val="nil"/>
              <w:left w:val="nil"/>
              <w:bottom w:val="nil"/>
              <w:right w:val="nil"/>
            </w:tcBorders>
            <w:vAlign w:val="bottom"/>
          </w:tcPr>
          <w:p w:rsidR="00FE17DC" w:rsidRPr="00FC3DC3" w:rsidRDefault="00FE17DC"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0,5</w:t>
            </w:r>
          </w:p>
        </w:tc>
        <w:tc>
          <w:tcPr>
            <w:tcW w:w="806" w:type="dxa"/>
            <w:tcBorders>
              <w:top w:val="nil"/>
              <w:left w:val="nil"/>
              <w:bottom w:val="nil"/>
              <w:right w:val="nil"/>
            </w:tcBorders>
            <w:vAlign w:val="bottom"/>
          </w:tcPr>
          <w:p w:rsidR="00FE17DC" w:rsidRPr="000730D0" w:rsidRDefault="00FE17DC"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0,6</w:t>
            </w:r>
          </w:p>
        </w:tc>
        <w:tc>
          <w:tcPr>
            <w:tcW w:w="806" w:type="dxa"/>
            <w:tcBorders>
              <w:top w:val="nil"/>
              <w:left w:val="nil"/>
              <w:bottom w:val="nil"/>
              <w:right w:val="nil"/>
            </w:tcBorders>
            <w:vAlign w:val="bottom"/>
          </w:tcPr>
          <w:p w:rsidR="00FE17DC" w:rsidRPr="00FE17DC" w:rsidRDefault="00FE17DC" w:rsidP="00FE17DC">
            <w:pPr>
              <w:jc w:val="right"/>
              <w:rPr>
                <w:rFonts w:ascii="Times New Roman" w:hAnsi="Times New Roman" w:cs="Times New Roman"/>
                <w:sz w:val="16"/>
                <w:szCs w:val="16"/>
              </w:rPr>
            </w:pPr>
            <w:r w:rsidRPr="00FE17DC">
              <w:rPr>
                <w:rFonts w:ascii="Times New Roman" w:hAnsi="Times New Roman" w:cs="Times New Roman"/>
                <w:sz w:val="16"/>
                <w:szCs w:val="16"/>
              </w:rPr>
              <w:t>0,7</w:t>
            </w:r>
          </w:p>
        </w:tc>
      </w:tr>
      <w:tr w:rsidR="00FE17DC" w:rsidRPr="00EF0798" w:rsidTr="000456E0">
        <w:trPr>
          <w:trHeight w:val="300"/>
        </w:trPr>
        <w:tc>
          <w:tcPr>
            <w:tcW w:w="962" w:type="dxa"/>
            <w:tcBorders>
              <w:top w:val="nil"/>
              <w:left w:val="nil"/>
              <w:bottom w:val="nil"/>
              <w:right w:val="nil"/>
            </w:tcBorders>
            <w:shd w:val="clear" w:color="auto" w:fill="auto"/>
            <w:noWrap/>
            <w:vAlign w:val="bottom"/>
            <w:hideMark/>
          </w:tcPr>
          <w:p w:rsidR="00FE17DC" w:rsidRPr="00EF0798" w:rsidRDefault="00FE17DC"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NIGER</w:t>
            </w:r>
          </w:p>
        </w:tc>
        <w:tc>
          <w:tcPr>
            <w:tcW w:w="820" w:type="dxa"/>
            <w:tcBorders>
              <w:top w:val="nil"/>
              <w:left w:val="nil"/>
              <w:bottom w:val="nil"/>
              <w:right w:val="nil"/>
            </w:tcBorders>
            <w:shd w:val="clear" w:color="auto" w:fill="auto"/>
            <w:vAlign w:val="bottom"/>
            <w:hideMark/>
          </w:tcPr>
          <w:p w:rsidR="00FE17DC" w:rsidRPr="00EF0798" w:rsidRDefault="00FE17DC"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1111</w:t>
            </w:r>
          </w:p>
        </w:tc>
        <w:tc>
          <w:tcPr>
            <w:tcW w:w="780"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-2,1</w:t>
            </w:r>
          </w:p>
        </w:tc>
        <w:tc>
          <w:tcPr>
            <w:tcW w:w="705"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-1,1</w:t>
            </w:r>
          </w:p>
        </w:tc>
        <w:tc>
          <w:tcPr>
            <w:tcW w:w="749"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-0,6</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0,1</w:t>
            </w:r>
          </w:p>
        </w:tc>
        <w:tc>
          <w:tcPr>
            <w:tcW w:w="776"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49"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5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2,0</w:t>
            </w:r>
          </w:p>
        </w:tc>
        <w:tc>
          <w:tcPr>
            <w:tcW w:w="6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53" w:type="dxa"/>
            <w:tcBorders>
              <w:top w:val="nil"/>
              <w:left w:val="nil"/>
              <w:bottom w:val="nil"/>
              <w:right w:val="nil"/>
            </w:tcBorders>
            <w:vAlign w:val="bottom"/>
          </w:tcPr>
          <w:p w:rsidR="00FE17DC" w:rsidRPr="00FC3DC3" w:rsidRDefault="00FE17DC"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2,9</w:t>
            </w:r>
          </w:p>
        </w:tc>
        <w:tc>
          <w:tcPr>
            <w:tcW w:w="806" w:type="dxa"/>
            <w:tcBorders>
              <w:top w:val="nil"/>
              <w:left w:val="nil"/>
              <w:bottom w:val="nil"/>
              <w:right w:val="nil"/>
            </w:tcBorders>
            <w:vAlign w:val="bottom"/>
          </w:tcPr>
          <w:p w:rsidR="00FE17DC" w:rsidRPr="000730D0" w:rsidRDefault="00FE17DC"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3,2</w:t>
            </w:r>
          </w:p>
        </w:tc>
        <w:tc>
          <w:tcPr>
            <w:tcW w:w="806" w:type="dxa"/>
            <w:tcBorders>
              <w:top w:val="nil"/>
              <w:left w:val="nil"/>
              <w:bottom w:val="nil"/>
              <w:right w:val="nil"/>
            </w:tcBorders>
            <w:vAlign w:val="bottom"/>
          </w:tcPr>
          <w:p w:rsidR="00FE17DC" w:rsidRPr="00FE17DC" w:rsidRDefault="00FE17DC" w:rsidP="00FE17DC">
            <w:pPr>
              <w:jc w:val="right"/>
              <w:rPr>
                <w:rFonts w:ascii="Times New Roman" w:hAnsi="Times New Roman" w:cs="Times New Roman"/>
                <w:sz w:val="16"/>
                <w:szCs w:val="16"/>
              </w:rPr>
            </w:pPr>
            <w:r w:rsidRPr="00FE17DC">
              <w:rPr>
                <w:rFonts w:ascii="Times New Roman" w:hAnsi="Times New Roman" w:cs="Times New Roman"/>
                <w:sz w:val="16"/>
                <w:szCs w:val="16"/>
              </w:rPr>
              <w:t>3,6</w:t>
            </w:r>
          </w:p>
        </w:tc>
      </w:tr>
      <w:tr w:rsidR="00FE17DC" w:rsidRPr="00EF0798" w:rsidTr="000456E0">
        <w:trPr>
          <w:trHeight w:val="300"/>
        </w:trPr>
        <w:tc>
          <w:tcPr>
            <w:tcW w:w="962" w:type="dxa"/>
            <w:tcBorders>
              <w:top w:val="nil"/>
              <w:left w:val="nil"/>
              <w:bottom w:val="nil"/>
              <w:right w:val="nil"/>
            </w:tcBorders>
            <w:shd w:val="clear" w:color="auto" w:fill="auto"/>
            <w:noWrap/>
            <w:vAlign w:val="bottom"/>
            <w:hideMark/>
          </w:tcPr>
          <w:p w:rsidR="00FE17DC" w:rsidRPr="00EF0798" w:rsidRDefault="00FE17DC"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SENEGAL</w:t>
            </w:r>
          </w:p>
        </w:tc>
        <w:tc>
          <w:tcPr>
            <w:tcW w:w="820" w:type="dxa"/>
            <w:tcBorders>
              <w:top w:val="nil"/>
              <w:left w:val="nil"/>
              <w:bottom w:val="nil"/>
              <w:right w:val="nil"/>
            </w:tcBorders>
            <w:shd w:val="clear" w:color="auto" w:fill="auto"/>
            <w:vAlign w:val="bottom"/>
            <w:hideMark/>
          </w:tcPr>
          <w:p w:rsidR="00FE17DC" w:rsidRPr="00EF0798" w:rsidRDefault="00FE17DC"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1491</w:t>
            </w:r>
          </w:p>
        </w:tc>
        <w:tc>
          <w:tcPr>
            <w:tcW w:w="780"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1,4</w:t>
            </w:r>
          </w:p>
        </w:tc>
        <w:tc>
          <w:tcPr>
            <w:tcW w:w="705"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1,6</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49"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1,7</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1,9</w:t>
            </w:r>
          </w:p>
        </w:tc>
        <w:tc>
          <w:tcPr>
            <w:tcW w:w="776"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2,0</w:t>
            </w:r>
          </w:p>
        </w:tc>
        <w:tc>
          <w:tcPr>
            <w:tcW w:w="749"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2,2</w:t>
            </w:r>
          </w:p>
        </w:tc>
        <w:tc>
          <w:tcPr>
            <w:tcW w:w="5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2,3</w:t>
            </w:r>
          </w:p>
        </w:tc>
        <w:tc>
          <w:tcPr>
            <w:tcW w:w="6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2,4</w:t>
            </w:r>
          </w:p>
        </w:tc>
        <w:tc>
          <w:tcPr>
            <w:tcW w:w="653" w:type="dxa"/>
            <w:tcBorders>
              <w:top w:val="nil"/>
              <w:left w:val="nil"/>
              <w:bottom w:val="nil"/>
              <w:right w:val="nil"/>
            </w:tcBorders>
            <w:vAlign w:val="bottom"/>
          </w:tcPr>
          <w:p w:rsidR="00FE17DC" w:rsidRPr="00FC3DC3" w:rsidRDefault="00FE17DC"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2,5</w:t>
            </w:r>
          </w:p>
        </w:tc>
        <w:tc>
          <w:tcPr>
            <w:tcW w:w="806" w:type="dxa"/>
            <w:tcBorders>
              <w:top w:val="nil"/>
              <w:left w:val="nil"/>
              <w:bottom w:val="nil"/>
              <w:right w:val="nil"/>
            </w:tcBorders>
            <w:vAlign w:val="bottom"/>
          </w:tcPr>
          <w:p w:rsidR="00FE17DC" w:rsidRPr="000730D0" w:rsidRDefault="00FE17DC"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2,4</w:t>
            </w:r>
          </w:p>
        </w:tc>
        <w:tc>
          <w:tcPr>
            <w:tcW w:w="806" w:type="dxa"/>
            <w:tcBorders>
              <w:top w:val="nil"/>
              <w:left w:val="nil"/>
              <w:bottom w:val="nil"/>
              <w:right w:val="nil"/>
            </w:tcBorders>
            <w:vAlign w:val="bottom"/>
          </w:tcPr>
          <w:p w:rsidR="00FE17DC" w:rsidRPr="00FE17DC" w:rsidRDefault="00FE17DC" w:rsidP="00FE17DC">
            <w:pPr>
              <w:jc w:val="right"/>
              <w:rPr>
                <w:rFonts w:ascii="Times New Roman" w:hAnsi="Times New Roman" w:cs="Times New Roman"/>
                <w:sz w:val="16"/>
                <w:szCs w:val="16"/>
              </w:rPr>
            </w:pPr>
            <w:bookmarkStart w:id="1" w:name="_GoBack"/>
            <w:bookmarkEnd w:id="1"/>
            <w:r w:rsidRPr="00FE17DC">
              <w:rPr>
                <w:rFonts w:ascii="Times New Roman" w:hAnsi="Times New Roman" w:cs="Times New Roman"/>
                <w:sz w:val="16"/>
                <w:szCs w:val="16"/>
              </w:rPr>
              <w:t>2,4</w:t>
            </w:r>
          </w:p>
        </w:tc>
      </w:tr>
      <w:tr w:rsidR="00FE17DC" w:rsidRPr="00EF0798" w:rsidTr="000456E0">
        <w:trPr>
          <w:trHeight w:val="300"/>
        </w:trPr>
        <w:tc>
          <w:tcPr>
            <w:tcW w:w="962" w:type="dxa"/>
            <w:tcBorders>
              <w:top w:val="nil"/>
              <w:left w:val="nil"/>
              <w:bottom w:val="nil"/>
              <w:right w:val="nil"/>
            </w:tcBorders>
            <w:shd w:val="clear" w:color="auto" w:fill="auto"/>
            <w:noWrap/>
            <w:vAlign w:val="bottom"/>
            <w:hideMark/>
          </w:tcPr>
          <w:p w:rsidR="00FE17DC" w:rsidRPr="00EF0798" w:rsidRDefault="00FE17DC"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TOGO</w:t>
            </w:r>
          </w:p>
        </w:tc>
        <w:tc>
          <w:tcPr>
            <w:tcW w:w="820" w:type="dxa"/>
            <w:tcBorders>
              <w:top w:val="nil"/>
              <w:left w:val="nil"/>
              <w:bottom w:val="nil"/>
              <w:right w:val="nil"/>
            </w:tcBorders>
            <w:shd w:val="clear" w:color="auto" w:fill="auto"/>
            <w:vAlign w:val="bottom"/>
            <w:hideMark/>
          </w:tcPr>
          <w:p w:rsidR="00FE17DC" w:rsidRPr="00EF0798" w:rsidRDefault="00FE17DC"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681</w:t>
            </w:r>
          </w:p>
        </w:tc>
        <w:tc>
          <w:tcPr>
            <w:tcW w:w="780"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0,4</w:t>
            </w:r>
          </w:p>
        </w:tc>
        <w:tc>
          <w:tcPr>
            <w:tcW w:w="705"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0,8</w:t>
            </w:r>
          </w:p>
        </w:tc>
        <w:tc>
          <w:tcPr>
            <w:tcW w:w="749"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32" w:type="dxa"/>
            <w:tcBorders>
              <w:top w:val="nil"/>
              <w:left w:val="nil"/>
              <w:bottom w:val="nil"/>
              <w:right w:val="nil"/>
            </w:tcBorders>
            <w:shd w:val="clear" w:color="auto" w:fill="auto"/>
            <w:noWrap/>
            <w:vAlign w:val="bottom"/>
            <w:hideMark/>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0,7</w:t>
            </w:r>
          </w:p>
        </w:tc>
        <w:tc>
          <w:tcPr>
            <w:tcW w:w="776"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0,9</w:t>
            </w:r>
          </w:p>
        </w:tc>
        <w:tc>
          <w:tcPr>
            <w:tcW w:w="749" w:type="dxa"/>
            <w:tcBorders>
              <w:top w:val="nil"/>
              <w:left w:val="nil"/>
              <w:bottom w:val="nil"/>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sz w:val="16"/>
                <w:szCs w:val="16"/>
              </w:rPr>
              <w:t>1,2</w:t>
            </w:r>
          </w:p>
        </w:tc>
        <w:tc>
          <w:tcPr>
            <w:tcW w:w="5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1,4</w:t>
            </w:r>
          </w:p>
        </w:tc>
        <w:tc>
          <w:tcPr>
            <w:tcW w:w="671" w:type="dxa"/>
            <w:tcBorders>
              <w:top w:val="nil"/>
              <w:left w:val="nil"/>
              <w:bottom w:val="nil"/>
              <w:right w:val="nil"/>
            </w:tcBorders>
            <w:vAlign w:val="bottom"/>
          </w:tcPr>
          <w:p w:rsidR="00FE17DC" w:rsidRPr="00EF0798" w:rsidRDefault="00FE17DC" w:rsidP="00FE17DC">
            <w:pPr>
              <w:jc w:val="right"/>
              <w:rPr>
                <w:rFonts w:ascii="Times New Roman" w:hAnsi="Times New Roman" w:cs="Times New Roman"/>
                <w:color w:val="000000"/>
                <w:sz w:val="16"/>
                <w:szCs w:val="16"/>
              </w:rPr>
            </w:pPr>
            <w:r w:rsidRPr="00EF0798">
              <w:rPr>
                <w:rFonts w:ascii="Times New Roman" w:hAnsi="Times New Roman" w:cs="Times New Roman"/>
                <w:color w:val="000000"/>
                <w:sz w:val="16"/>
                <w:szCs w:val="16"/>
              </w:rPr>
              <w:t>1,5</w:t>
            </w:r>
          </w:p>
        </w:tc>
        <w:tc>
          <w:tcPr>
            <w:tcW w:w="653" w:type="dxa"/>
            <w:tcBorders>
              <w:top w:val="nil"/>
              <w:left w:val="nil"/>
              <w:bottom w:val="nil"/>
              <w:right w:val="nil"/>
            </w:tcBorders>
            <w:vAlign w:val="bottom"/>
          </w:tcPr>
          <w:p w:rsidR="00FE17DC" w:rsidRPr="00FC3DC3" w:rsidRDefault="00FE17DC" w:rsidP="00FE17DC">
            <w:pPr>
              <w:jc w:val="right"/>
              <w:rPr>
                <w:rFonts w:ascii="Times New Roman" w:hAnsi="Times New Roman" w:cs="Times New Roman"/>
                <w:color w:val="000000"/>
                <w:sz w:val="16"/>
                <w:szCs w:val="16"/>
              </w:rPr>
            </w:pPr>
            <w:r w:rsidRPr="00FC3DC3">
              <w:rPr>
                <w:rFonts w:ascii="Times New Roman" w:hAnsi="Times New Roman" w:cs="Times New Roman"/>
                <w:color w:val="000000"/>
                <w:sz w:val="16"/>
                <w:szCs w:val="16"/>
              </w:rPr>
              <w:t>1,8</w:t>
            </w:r>
          </w:p>
        </w:tc>
        <w:tc>
          <w:tcPr>
            <w:tcW w:w="806" w:type="dxa"/>
            <w:tcBorders>
              <w:top w:val="nil"/>
              <w:left w:val="nil"/>
              <w:bottom w:val="nil"/>
              <w:right w:val="nil"/>
            </w:tcBorders>
            <w:vAlign w:val="bottom"/>
          </w:tcPr>
          <w:p w:rsidR="00FE17DC" w:rsidRPr="000730D0" w:rsidRDefault="00FE17DC" w:rsidP="00FE17DC">
            <w:pPr>
              <w:jc w:val="right"/>
              <w:rPr>
                <w:rFonts w:ascii="Times New Roman" w:hAnsi="Times New Roman" w:cs="Times New Roman"/>
                <w:color w:val="000000"/>
                <w:sz w:val="16"/>
                <w:szCs w:val="16"/>
              </w:rPr>
            </w:pPr>
            <w:r w:rsidRPr="000730D0">
              <w:rPr>
                <w:rFonts w:ascii="Times New Roman" w:hAnsi="Times New Roman" w:cs="Times New Roman"/>
                <w:color w:val="000000"/>
                <w:sz w:val="16"/>
                <w:szCs w:val="16"/>
              </w:rPr>
              <w:t>1,9</w:t>
            </w:r>
          </w:p>
        </w:tc>
        <w:tc>
          <w:tcPr>
            <w:tcW w:w="806" w:type="dxa"/>
            <w:tcBorders>
              <w:top w:val="nil"/>
              <w:left w:val="nil"/>
              <w:bottom w:val="nil"/>
              <w:right w:val="nil"/>
            </w:tcBorders>
            <w:vAlign w:val="bottom"/>
          </w:tcPr>
          <w:p w:rsidR="00FE17DC" w:rsidRPr="00FE17DC" w:rsidRDefault="00FE17DC" w:rsidP="00FE17DC">
            <w:pPr>
              <w:jc w:val="right"/>
              <w:rPr>
                <w:rFonts w:ascii="Times New Roman" w:hAnsi="Times New Roman" w:cs="Times New Roman"/>
                <w:sz w:val="16"/>
                <w:szCs w:val="16"/>
              </w:rPr>
            </w:pPr>
            <w:r w:rsidRPr="00FE17DC">
              <w:rPr>
                <w:rFonts w:ascii="Times New Roman" w:hAnsi="Times New Roman" w:cs="Times New Roman"/>
                <w:sz w:val="16"/>
                <w:szCs w:val="16"/>
              </w:rPr>
              <w:t>2,0</w:t>
            </w:r>
          </w:p>
        </w:tc>
      </w:tr>
      <w:tr w:rsidR="00FE17DC" w:rsidRPr="005E3A2C" w:rsidTr="000456E0">
        <w:trPr>
          <w:trHeight w:val="315"/>
        </w:trPr>
        <w:tc>
          <w:tcPr>
            <w:tcW w:w="962" w:type="dxa"/>
            <w:tcBorders>
              <w:top w:val="nil"/>
              <w:left w:val="nil"/>
              <w:bottom w:val="double" w:sz="6" w:space="0" w:color="auto"/>
              <w:right w:val="nil"/>
            </w:tcBorders>
            <w:shd w:val="clear" w:color="auto" w:fill="auto"/>
            <w:noWrap/>
            <w:vAlign w:val="bottom"/>
            <w:hideMark/>
          </w:tcPr>
          <w:p w:rsidR="00FE17DC" w:rsidRPr="00EF0798" w:rsidRDefault="00FE17DC" w:rsidP="00FE17DC">
            <w:pPr>
              <w:rPr>
                <w:rFonts w:ascii="Times New Roman" w:hAnsi="Times New Roman" w:cs="Times New Roman"/>
                <w:color w:val="000000"/>
                <w:sz w:val="16"/>
                <w:szCs w:val="16"/>
              </w:rPr>
            </w:pPr>
            <w:r w:rsidRPr="00EF0798">
              <w:rPr>
                <w:rFonts w:ascii="Times New Roman" w:hAnsi="Times New Roman" w:cs="Times New Roman"/>
                <w:color w:val="000000"/>
                <w:sz w:val="16"/>
                <w:szCs w:val="16"/>
              </w:rPr>
              <w:t>UEMOA</w:t>
            </w:r>
          </w:p>
        </w:tc>
        <w:tc>
          <w:tcPr>
            <w:tcW w:w="820" w:type="dxa"/>
            <w:tcBorders>
              <w:top w:val="nil"/>
              <w:left w:val="nil"/>
              <w:bottom w:val="double" w:sz="6" w:space="0" w:color="auto"/>
              <w:right w:val="nil"/>
            </w:tcBorders>
            <w:shd w:val="clear" w:color="auto" w:fill="auto"/>
            <w:noWrap/>
            <w:vAlign w:val="bottom"/>
            <w:hideMark/>
          </w:tcPr>
          <w:p w:rsidR="00FE17DC" w:rsidRPr="00EF0798" w:rsidRDefault="00FE17DC" w:rsidP="00FE17DC">
            <w:pPr>
              <w:jc w:val="center"/>
              <w:rPr>
                <w:rFonts w:ascii="Times New Roman" w:hAnsi="Times New Roman" w:cs="Times New Roman"/>
                <w:b/>
                <w:bCs/>
                <w:color w:val="000000"/>
                <w:sz w:val="16"/>
                <w:szCs w:val="16"/>
              </w:rPr>
            </w:pPr>
            <w:r w:rsidRPr="00EF0798">
              <w:rPr>
                <w:rFonts w:ascii="Times New Roman" w:hAnsi="Times New Roman" w:cs="Times New Roman"/>
                <w:b/>
                <w:bCs/>
                <w:color w:val="000000"/>
                <w:sz w:val="16"/>
                <w:szCs w:val="16"/>
              </w:rPr>
              <w:t>10000</w:t>
            </w:r>
          </w:p>
        </w:tc>
        <w:tc>
          <w:tcPr>
            <w:tcW w:w="780" w:type="dxa"/>
            <w:tcBorders>
              <w:top w:val="nil"/>
              <w:left w:val="nil"/>
              <w:bottom w:val="double" w:sz="6" w:space="0" w:color="auto"/>
              <w:right w:val="nil"/>
            </w:tcBorders>
            <w:shd w:val="clear" w:color="auto" w:fill="auto"/>
            <w:noWrap/>
            <w:vAlign w:val="bottom"/>
            <w:hideMark/>
          </w:tcPr>
          <w:p w:rsidR="00FE17DC" w:rsidRPr="00EF0798" w:rsidRDefault="00FE17DC"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-0,3</w:t>
            </w:r>
          </w:p>
        </w:tc>
        <w:tc>
          <w:tcPr>
            <w:tcW w:w="705" w:type="dxa"/>
            <w:tcBorders>
              <w:top w:val="nil"/>
              <w:left w:val="nil"/>
              <w:bottom w:val="double" w:sz="6" w:space="0" w:color="auto"/>
              <w:right w:val="nil"/>
            </w:tcBorders>
            <w:shd w:val="clear" w:color="auto" w:fill="auto"/>
            <w:noWrap/>
            <w:vAlign w:val="bottom"/>
            <w:hideMark/>
          </w:tcPr>
          <w:p w:rsidR="00FE17DC" w:rsidRPr="00EF0798" w:rsidRDefault="00FE17DC"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732" w:type="dxa"/>
            <w:tcBorders>
              <w:top w:val="nil"/>
              <w:left w:val="nil"/>
              <w:bottom w:val="double" w:sz="6" w:space="0" w:color="auto"/>
              <w:right w:val="nil"/>
            </w:tcBorders>
            <w:shd w:val="clear" w:color="auto" w:fill="auto"/>
            <w:noWrap/>
            <w:vAlign w:val="bottom"/>
            <w:hideMark/>
          </w:tcPr>
          <w:p w:rsidR="00FE17DC" w:rsidRPr="00EF0798" w:rsidRDefault="00FE17DC"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0,1</w:t>
            </w:r>
          </w:p>
        </w:tc>
        <w:tc>
          <w:tcPr>
            <w:tcW w:w="749" w:type="dxa"/>
            <w:tcBorders>
              <w:top w:val="nil"/>
              <w:left w:val="nil"/>
              <w:bottom w:val="double" w:sz="6" w:space="0" w:color="auto"/>
              <w:right w:val="nil"/>
            </w:tcBorders>
            <w:shd w:val="clear" w:color="auto" w:fill="auto"/>
            <w:noWrap/>
            <w:vAlign w:val="bottom"/>
            <w:hideMark/>
          </w:tcPr>
          <w:p w:rsidR="00FE17DC" w:rsidRPr="00EF0798" w:rsidRDefault="00FE17DC"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0,3</w:t>
            </w:r>
          </w:p>
        </w:tc>
        <w:tc>
          <w:tcPr>
            <w:tcW w:w="732" w:type="dxa"/>
            <w:tcBorders>
              <w:top w:val="nil"/>
              <w:left w:val="nil"/>
              <w:bottom w:val="double" w:sz="6" w:space="0" w:color="auto"/>
              <w:right w:val="nil"/>
            </w:tcBorders>
            <w:shd w:val="clear" w:color="auto" w:fill="auto"/>
            <w:noWrap/>
            <w:vAlign w:val="bottom"/>
            <w:hideMark/>
          </w:tcPr>
          <w:p w:rsidR="00FE17DC" w:rsidRPr="00EF0798" w:rsidRDefault="00FE17DC" w:rsidP="00FE17DC">
            <w:pPr>
              <w:jc w:val="center"/>
              <w:rPr>
                <w:rFonts w:ascii="Times New Roman" w:hAnsi="Times New Roman" w:cs="Times New Roman"/>
                <w:b/>
                <w:bCs/>
                <w:sz w:val="16"/>
                <w:szCs w:val="16"/>
              </w:rPr>
            </w:pPr>
            <w:r w:rsidRPr="00EF0798">
              <w:rPr>
                <w:rFonts w:ascii="Times New Roman" w:hAnsi="Times New Roman" w:cs="Times New Roman"/>
                <w:b/>
                <w:bCs/>
                <w:sz w:val="16"/>
                <w:szCs w:val="16"/>
              </w:rPr>
              <w:t>0,6</w:t>
            </w:r>
          </w:p>
        </w:tc>
        <w:tc>
          <w:tcPr>
            <w:tcW w:w="776" w:type="dxa"/>
            <w:tcBorders>
              <w:top w:val="nil"/>
              <w:left w:val="nil"/>
              <w:bottom w:val="double" w:sz="6" w:space="0" w:color="auto"/>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b/>
                <w:bCs/>
                <w:sz w:val="16"/>
                <w:szCs w:val="16"/>
              </w:rPr>
              <w:t>1,0</w:t>
            </w:r>
          </w:p>
        </w:tc>
        <w:tc>
          <w:tcPr>
            <w:tcW w:w="749" w:type="dxa"/>
            <w:tcBorders>
              <w:top w:val="nil"/>
              <w:left w:val="nil"/>
              <w:bottom w:val="double" w:sz="6" w:space="0" w:color="auto"/>
              <w:right w:val="nil"/>
            </w:tcBorders>
            <w:vAlign w:val="bottom"/>
          </w:tcPr>
          <w:p w:rsidR="00FE17DC" w:rsidRPr="00EF0798" w:rsidRDefault="00FE17DC" w:rsidP="00FE17DC">
            <w:pPr>
              <w:jc w:val="center"/>
              <w:rPr>
                <w:rFonts w:ascii="Times New Roman" w:hAnsi="Times New Roman" w:cs="Times New Roman"/>
                <w:sz w:val="16"/>
                <w:szCs w:val="16"/>
              </w:rPr>
            </w:pPr>
            <w:r w:rsidRPr="00EF0798">
              <w:rPr>
                <w:rFonts w:ascii="Times New Roman" w:hAnsi="Times New Roman" w:cs="Times New Roman"/>
                <w:b/>
                <w:bCs/>
                <w:sz w:val="16"/>
                <w:szCs w:val="16"/>
              </w:rPr>
              <w:t>1,3</w:t>
            </w:r>
          </w:p>
        </w:tc>
        <w:tc>
          <w:tcPr>
            <w:tcW w:w="571" w:type="dxa"/>
            <w:tcBorders>
              <w:top w:val="nil"/>
              <w:left w:val="nil"/>
              <w:bottom w:val="double" w:sz="6" w:space="0" w:color="auto"/>
              <w:right w:val="nil"/>
            </w:tcBorders>
            <w:vAlign w:val="bottom"/>
          </w:tcPr>
          <w:p w:rsidR="00FE17DC" w:rsidRPr="005E3A2C" w:rsidRDefault="00FE17DC" w:rsidP="00FE17DC">
            <w:pPr>
              <w:jc w:val="right"/>
              <w:rPr>
                <w:rFonts w:ascii="Times New Roman" w:hAnsi="Times New Roman" w:cs="Times New Roman"/>
                <w:b/>
                <w:sz w:val="16"/>
                <w:szCs w:val="16"/>
              </w:rPr>
            </w:pPr>
            <w:r w:rsidRPr="005E3A2C">
              <w:rPr>
                <w:rFonts w:ascii="Times New Roman" w:hAnsi="Times New Roman" w:cs="Times New Roman"/>
                <w:b/>
                <w:sz w:val="16"/>
                <w:szCs w:val="16"/>
              </w:rPr>
              <w:t>1,7</w:t>
            </w:r>
          </w:p>
        </w:tc>
        <w:tc>
          <w:tcPr>
            <w:tcW w:w="671" w:type="dxa"/>
            <w:tcBorders>
              <w:top w:val="nil"/>
              <w:left w:val="nil"/>
              <w:bottom w:val="double" w:sz="6" w:space="0" w:color="auto"/>
              <w:right w:val="nil"/>
            </w:tcBorders>
            <w:vAlign w:val="bottom"/>
          </w:tcPr>
          <w:p w:rsidR="00FE17DC" w:rsidRPr="005E3A2C" w:rsidRDefault="00FE17DC" w:rsidP="00FE17DC">
            <w:pPr>
              <w:jc w:val="right"/>
              <w:rPr>
                <w:rFonts w:ascii="Times New Roman" w:hAnsi="Times New Roman" w:cs="Times New Roman"/>
                <w:b/>
                <w:sz w:val="16"/>
                <w:szCs w:val="16"/>
              </w:rPr>
            </w:pPr>
            <w:r w:rsidRPr="005E3A2C">
              <w:rPr>
                <w:rFonts w:ascii="Times New Roman" w:hAnsi="Times New Roman" w:cs="Times New Roman"/>
                <w:b/>
                <w:sz w:val="16"/>
                <w:szCs w:val="16"/>
              </w:rPr>
              <w:t>1,9</w:t>
            </w:r>
          </w:p>
        </w:tc>
        <w:tc>
          <w:tcPr>
            <w:tcW w:w="653" w:type="dxa"/>
            <w:tcBorders>
              <w:top w:val="nil"/>
              <w:left w:val="nil"/>
              <w:bottom w:val="double" w:sz="6" w:space="0" w:color="auto"/>
              <w:right w:val="nil"/>
            </w:tcBorders>
            <w:vAlign w:val="bottom"/>
          </w:tcPr>
          <w:p w:rsidR="00FE17DC" w:rsidRPr="005E3A2C" w:rsidRDefault="00FE17DC" w:rsidP="00FE17DC">
            <w:pPr>
              <w:jc w:val="right"/>
              <w:rPr>
                <w:rFonts w:ascii="Times New Roman" w:hAnsi="Times New Roman" w:cs="Times New Roman"/>
                <w:b/>
                <w:color w:val="000000"/>
                <w:sz w:val="16"/>
                <w:szCs w:val="16"/>
              </w:rPr>
            </w:pPr>
            <w:r w:rsidRPr="005E3A2C">
              <w:rPr>
                <w:rFonts w:ascii="Times New Roman" w:hAnsi="Times New Roman" w:cs="Times New Roman"/>
                <w:b/>
                <w:color w:val="000000"/>
                <w:sz w:val="16"/>
                <w:szCs w:val="16"/>
              </w:rPr>
              <w:t>2,1</w:t>
            </w:r>
          </w:p>
        </w:tc>
        <w:tc>
          <w:tcPr>
            <w:tcW w:w="806" w:type="dxa"/>
            <w:tcBorders>
              <w:top w:val="nil"/>
              <w:left w:val="nil"/>
              <w:bottom w:val="double" w:sz="6" w:space="0" w:color="auto"/>
              <w:right w:val="nil"/>
            </w:tcBorders>
            <w:vAlign w:val="bottom"/>
          </w:tcPr>
          <w:p w:rsidR="00FE17DC" w:rsidRPr="005E3A2C" w:rsidRDefault="00FE17DC" w:rsidP="00FE17DC">
            <w:pPr>
              <w:jc w:val="right"/>
              <w:rPr>
                <w:rFonts w:ascii="Times New Roman" w:hAnsi="Times New Roman" w:cs="Times New Roman"/>
                <w:b/>
                <w:color w:val="000000"/>
                <w:sz w:val="16"/>
                <w:szCs w:val="16"/>
              </w:rPr>
            </w:pPr>
            <w:r w:rsidRPr="005E3A2C">
              <w:rPr>
                <w:rFonts w:ascii="Times New Roman" w:hAnsi="Times New Roman" w:cs="Times New Roman"/>
                <w:b/>
                <w:color w:val="000000"/>
                <w:sz w:val="16"/>
                <w:szCs w:val="16"/>
              </w:rPr>
              <w:t>2,2</w:t>
            </w:r>
          </w:p>
        </w:tc>
        <w:tc>
          <w:tcPr>
            <w:tcW w:w="806" w:type="dxa"/>
            <w:tcBorders>
              <w:top w:val="nil"/>
              <w:left w:val="nil"/>
              <w:bottom w:val="double" w:sz="6" w:space="0" w:color="auto"/>
              <w:right w:val="nil"/>
            </w:tcBorders>
            <w:vAlign w:val="bottom"/>
          </w:tcPr>
          <w:p w:rsidR="00FE17DC" w:rsidRPr="00FE17DC" w:rsidRDefault="00FE17DC" w:rsidP="00FE17DC">
            <w:pPr>
              <w:jc w:val="right"/>
              <w:rPr>
                <w:rFonts w:ascii="Times New Roman" w:hAnsi="Times New Roman" w:cs="Times New Roman"/>
                <w:b/>
                <w:bCs/>
                <w:sz w:val="16"/>
                <w:szCs w:val="16"/>
              </w:rPr>
            </w:pPr>
            <w:r w:rsidRPr="00FE17DC">
              <w:rPr>
                <w:rFonts w:ascii="Times New Roman" w:hAnsi="Times New Roman" w:cs="Times New Roman"/>
                <w:b/>
                <w:bCs/>
                <w:sz w:val="16"/>
                <w:szCs w:val="16"/>
              </w:rPr>
              <w:t>2,3</w:t>
            </w:r>
          </w:p>
        </w:tc>
      </w:tr>
    </w:tbl>
    <w:p w:rsidR="003671B8" w:rsidRPr="00EF65B5" w:rsidRDefault="000814FF" w:rsidP="003671B8">
      <w:pPr>
        <w:ind w:left="-567"/>
        <w:rPr>
          <w:rFonts w:ascii="Times New Roman" w:hAnsi="Times New Roman" w:cs="Times New Roman"/>
          <w:bCs/>
          <w:sz w:val="16"/>
          <w:szCs w:val="16"/>
        </w:rPr>
      </w:pPr>
      <w:r w:rsidRPr="000814FF">
        <w:rPr>
          <w:rFonts w:ascii="Times New Roman" w:hAnsi="Times New Roman" w:cs="Times New Roman"/>
          <w:bCs/>
          <w:sz w:val="16"/>
          <w:szCs w:val="16"/>
        </w:rPr>
        <w:t xml:space="preserve">            </w:t>
      </w:r>
      <w:r w:rsidR="003671B8" w:rsidRPr="00EF65B5">
        <w:rPr>
          <w:rFonts w:ascii="Times New Roman" w:hAnsi="Times New Roman" w:cs="Times New Roman"/>
          <w:bCs/>
          <w:sz w:val="16"/>
          <w:szCs w:val="16"/>
          <w:u w:val="single"/>
        </w:rPr>
        <w:t>Sources</w:t>
      </w:r>
      <w:r w:rsidR="003671B8" w:rsidRPr="00EF65B5">
        <w:rPr>
          <w:rFonts w:ascii="Times New Roman" w:hAnsi="Times New Roman" w:cs="Times New Roman"/>
          <w:bCs/>
          <w:sz w:val="16"/>
          <w:szCs w:val="16"/>
        </w:rPr>
        <w:t> : INS et</w:t>
      </w:r>
      <w:r w:rsidR="00EA37C7">
        <w:rPr>
          <w:rFonts w:ascii="Times New Roman" w:hAnsi="Times New Roman" w:cs="Times New Roman"/>
          <w:bCs/>
          <w:sz w:val="16"/>
          <w:szCs w:val="16"/>
        </w:rPr>
        <w:t xml:space="preserve"> COMMISSION  de l’UEMOA, </w:t>
      </w:r>
      <w:r>
        <w:rPr>
          <w:rFonts w:ascii="Times New Roman" w:hAnsi="Times New Roman" w:cs="Times New Roman"/>
          <w:bCs/>
          <w:sz w:val="16"/>
          <w:szCs w:val="16"/>
        </w:rPr>
        <w:t>mars</w:t>
      </w:r>
      <w:r w:rsidR="00A00B1E">
        <w:rPr>
          <w:rFonts w:ascii="Times New Roman" w:hAnsi="Times New Roman" w:cs="Times New Roman"/>
          <w:bCs/>
          <w:sz w:val="16"/>
          <w:szCs w:val="16"/>
        </w:rPr>
        <w:t xml:space="preserve"> 2021</w:t>
      </w:r>
    </w:p>
    <w:p w:rsidR="00EF65B5" w:rsidRPr="00906677" w:rsidRDefault="00EF65B5" w:rsidP="003671B8">
      <w:pPr>
        <w:ind w:left="-567"/>
      </w:pPr>
    </w:p>
    <w:p w:rsidR="00EF0798" w:rsidRDefault="00EF0798" w:rsidP="00EF65B5">
      <w:pPr>
        <w:rPr>
          <w:rFonts w:ascii="Times New Roman" w:hAnsi="Times New Roman" w:cs="Times New Roman"/>
          <w:b/>
          <w:sz w:val="24"/>
          <w:szCs w:val="24"/>
        </w:rPr>
      </w:pPr>
    </w:p>
    <w:p w:rsidR="00FE0938" w:rsidRDefault="00FE0938" w:rsidP="00EF65B5">
      <w:pPr>
        <w:rPr>
          <w:rFonts w:ascii="Times New Roman" w:hAnsi="Times New Roman" w:cs="Times New Roman"/>
          <w:b/>
          <w:sz w:val="24"/>
          <w:szCs w:val="24"/>
        </w:rPr>
      </w:pPr>
    </w:p>
    <w:p w:rsidR="003671B8" w:rsidRPr="00EF65B5" w:rsidRDefault="009A1366" w:rsidP="00EF65B5">
      <w:pPr>
        <w:rPr>
          <w:rFonts w:ascii="Times New Roman" w:hAnsi="Times New Roman" w:cs="Times New Roman"/>
          <w:b/>
          <w:sz w:val="24"/>
          <w:szCs w:val="24"/>
        </w:rPr>
      </w:pPr>
      <w:r>
        <w:rPr>
          <w:rFonts w:ascii="Times New Roman" w:hAnsi="Times New Roman" w:cs="Times New Roman"/>
          <w:b/>
          <w:sz w:val="24"/>
          <w:szCs w:val="24"/>
        </w:rPr>
        <w:t>Tableau 6</w:t>
      </w:r>
      <w:r w:rsidR="003671B8" w:rsidRPr="00EF65B5">
        <w:rPr>
          <w:rFonts w:ascii="Times New Roman" w:hAnsi="Times New Roman" w:cs="Times New Roman"/>
          <w:b/>
          <w:sz w:val="24"/>
          <w:szCs w:val="24"/>
        </w:rPr>
        <w:t> :</w:t>
      </w:r>
      <w:r w:rsidR="00EA37C7">
        <w:rPr>
          <w:rFonts w:ascii="Times New Roman" w:hAnsi="Times New Roman" w:cs="Times New Roman"/>
          <w:b/>
          <w:sz w:val="24"/>
          <w:szCs w:val="24"/>
        </w:rPr>
        <w:t xml:space="preserve"> Indice groupe du mois de </w:t>
      </w:r>
      <w:r w:rsidR="000814FF">
        <w:rPr>
          <w:rFonts w:ascii="Times New Roman" w:hAnsi="Times New Roman" w:cs="Times New Roman"/>
          <w:b/>
          <w:sz w:val="24"/>
          <w:szCs w:val="24"/>
        </w:rPr>
        <w:t>mars</w:t>
      </w:r>
      <w:r w:rsidR="00A00B1E">
        <w:rPr>
          <w:rFonts w:ascii="Times New Roman" w:hAnsi="Times New Roman" w:cs="Times New Roman"/>
          <w:b/>
          <w:sz w:val="24"/>
          <w:szCs w:val="24"/>
        </w:rPr>
        <w:t xml:space="preserve"> 2021</w:t>
      </w:r>
    </w:p>
    <w:tbl>
      <w:tblPr>
        <w:tblW w:w="9813" w:type="dxa"/>
        <w:tblInd w:w="70" w:type="dxa"/>
        <w:tblCellMar>
          <w:left w:w="70" w:type="dxa"/>
          <w:right w:w="70" w:type="dxa"/>
        </w:tblCellMar>
        <w:tblLook w:val="04A0" w:firstRow="1" w:lastRow="0" w:firstColumn="1" w:lastColumn="0" w:noHBand="0" w:noVBand="1"/>
      </w:tblPr>
      <w:tblGrid>
        <w:gridCol w:w="647"/>
        <w:gridCol w:w="3640"/>
        <w:gridCol w:w="481"/>
        <w:gridCol w:w="681"/>
        <w:gridCol w:w="662"/>
        <w:gridCol w:w="586"/>
        <w:gridCol w:w="662"/>
        <w:gridCol w:w="624"/>
        <w:gridCol w:w="576"/>
        <w:gridCol w:w="589"/>
        <w:gridCol w:w="665"/>
      </w:tblGrid>
      <w:tr w:rsidR="003671B8" w:rsidRPr="008F03D9" w:rsidTr="00CF4A89">
        <w:trPr>
          <w:trHeight w:val="240"/>
        </w:trPr>
        <w:tc>
          <w:tcPr>
            <w:tcW w:w="647" w:type="dxa"/>
            <w:tcBorders>
              <w:top w:val="single" w:sz="4" w:space="0" w:color="auto"/>
              <w:left w:val="single" w:sz="4" w:space="0" w:color="auto"/>
              <w:bottom w:val="nil"/>
              <w:right w:val="nil"/>
            </w:tcBorders>
            <w:shd w:val="clear" w:color="000000" w:fill="00FFFF"/>
            <w:noWrap/>
            <w:vAlign w:val="bottom"/>
            <w:hideMark/>
          </w:tcPr>
          <w:p w:rsidR="003671B8" w:rsidRPr="008F03D9" w:rsidRDefault="003671B8"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val="restart"/>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Indice groupe de la NCOA-IHPC</w:t>
            </w:r>
          </w:p>
        </w:tc>
        <w:tc>
          <w:tcPr>
            <w:tcW w:w="481" w:type="dxa"/>
            <w:tcBorders>
              <w:top w:val="single" w:sz="4" w:space="0" w:color="auto"/>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 </w:t>
            </w:r>
          </w:p>
        </w:tc>
        <w:tc>
          <w:tcPr>
            <w:tcW w:w="3215" w:type="dxa"/>
            <w:gridSpan w:val="5"/>
            <w:tcBorders>
              <w:top w:val="single" w:sz="4" w:space="0" w:color="auto"/>
              <w:left w:val="nil"/>
              <w:bottom w:val="nil"/>
              <w:right w:val="nil"/>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 xml:space="preserve">Indices pour les mois de </w:t>
            </w:r>
          </w:p>
        </w:tc>
        <w:tc>
          <w:tcPr>
            <w:tcW w:w="1830" w:type="dxa"/>
            <w:gridSpan w:val="3"/>
            <w:tcBorders>
              <w:top w:val="single" w:sz="4" w:space="0" w:color="auto"/>
              <w:left w:val="nil"/>
              <w:bottom w:val="nil"/>
              <w:right w:val="single" w:sz="4" w:space="0" w:color="auto"/>
            </w:tcBorders>
            <w:shd w:val="clear" w:color="000000" w:fill="00FFFF"/>
            <w:noWrap/>
            <w:vAlign w:val="bottom"/>
            <w:hideMark/>
          </w:tcPr>
          <w:p w:rsidR="003671B8" w:rsidRPr="008F03D9" w:rsidRDefault="003671B8" w:rsidP="003671B8">
            <w:pPr>
              <w:jc w:val="center"/>
              <w:rPr>
                <w:rFonts w:ascii="Times New Roman" w:hAnsi="Times New Roman" w:cs="Times New Roman"/>
                <w:sz w:val="14"/>
                <w:szCs w:val="14"/>
              </w:rPr>
            </w:pPr>
            <w:r w:rsidRPr="008F03D9">
              <w:rPr>
                <w:rFonts w:ascii="Times New Roman" w:hAnsi="Times New Roman" w:cs="Times New Roman"/>
                <w:sz w:val="14"/>
                <w:szCs w:val="14"/>
              </w:rPr>
              <w:t>Variation en % depuis</w:t>
            </w:r>
          </w:p>
        </w:tc>
      </w:tr>
      <w:tr w:rsidR="003671B8" w:rsidRPr="008F03D9" w:rsidTr="00CF4A89">
        <w:trPr>
          <w:trHeight w:val="252"/>
        </w:trPr>
        <w:tc>
          <w:tcPr>
            <w:tcW w:w="647" w:type="dxa"/>
            <w:tcBorders>
              <w:top w:val="nil"/>
              <w:left w:val="single" w:sz="4" w:space="0" w:color="auto"/>
              <w:bottom w:val="nil"/>
              <w:right w:val="nil"/>
            </w:tcBorders>
            <w:shd w:val="clear" w:color="000000" w:fill="00FFFF"/>
            <w:hideMark/>
          </w:tcPr>
          <w:p w:rsidR="003671B8" w:rsidRPr="008F03D9" w:rsidRDefault="003671B8"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3640" w:type="dxa"/>
            <w:vMerge/>
            <w:tcBorders>
              <w:top w:val="single" w:sz="4" w:space="0" w:color="auto"/>
              <w:left w:val="nil"/>
              <w:bottom w:val="nil"/>
              <w:right w:val="nil"/>
            </w:tcBorders>
            <w:vAlign w:val="center"/>
            <w:hideMark/>
          </w:tcPr>
          <w:p w:rsidR="003671B8" w:rsidRPr="008F03D9" w:rsidRDefault="003671B8" w:rsidP="003671B8">
            <w:pPr>
              <w:rPr>
                <w:rFonts w:ascii="Times New Roman" w:hAnsi="Times New Roman" w:cs="Times New Roman"/>
                <w:b/>
                <w:bCs/>
                <w:sz w:val="14"/>
                <w:szCs w:val="14"/>
              </w:rPr>
            </w:pPr>
          </w:p>
        </w:tc>
        <w:tc>
          <w:tcPr>
            <w:tcW w:w="481" w:type="dxa"/>
            <w:tcBorders>
              <w:top w:val="nil"/>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Poids</w:t>
            </w:r>
          </w:p>
        </w:tc>
        <w:tc>
          <w:tcPr>
            <w:tcW w:w="681" w:type="dxa"/>
            <w:tcBorders>
              <w:top w:val="nil"/>
              <w:left w:val="nil"/>
              <w:bottom w:val="nil"/>
              <w:right w:val="nil"/>
            </w:tcBorders>
            <w:shd w:val="clear" w:color="000000" w:fill="00FFFF"/>
            <w:vAlign w:val="bottom"/>
            <w:hideMark/>
          </w:tcPr>
          <w:p w:rsidR="003671B8" w:rsidRPr="008F03D9" w:rsidRDefault="00CF4A89" w:rsidP="003671B8">
            <w:pPr>
              <w:jc w:val="center"/>
              <w:rPr>
                <w:rFonts w:ascii="Times New Roman" w:hAnsi="Times New Roman" w:cs="Times New Roman"/>
                <w:b/>
                <w:bCs/>
                <w:sz w:val="14"/>
                <w:szCs w:val="14"/>
              </w:rPr>
            </w:pPr>
            <w:r>
              <w:rPr>
                <w:rFonts w:ascii="Times New Roman" w:hAnsi="Times New Roman" w:cs="Times New Roman"/>
                <w:b/>
                <w:bCs/>
                <w:sz w:val="14"/>
                <w:szCs w:val="14"/>
              </w:rPr>
              <w:t>mar</w:t>
            </w:r>
            <w:r w:rsidR="00945573">
              <w:rPr>
                <w:rFonts w:ascii="Times New Roman" w:hAnsi="Times New Roman" w:cs="Times New Roman"/>
                <w:b/>
                <w:bCs/>
                <w:sz w:val="14"/>
                <w:szCs w:val="14"/>
              </w:rPr>
              <w:t>-</w:t>
            </w:r>
            <w:r>
              <w:rPr>
                <w:rFonts w:ascii="Times New Roman" w:hAnsi="Times New Roman" w:cs="Times New Roman"/>
                <w:b/>
                <w:bCs/>
                <w:sz w:val="14"/>
                <w:szCs w:val="14"/>
              </w:rPr>
              <w:t>.</w:t>
            </w:r>
            <w:r w:rsidR="00945573">
              <w:rPr>
                <w:rFonts w:ascii="Times New Roman" w:hAnsi="Times New Roman" w:cs="Times New Roman"/>
                <w:b/>
                <w:bCs/>
                <w:sz w:val="14"/>
                <w:szCs w:val="14"/>
              </w:rPr>
              <w:t>20</w:t>
            </w:r>
          </w:p>
        </w:tc>
        <w:tc>
          <w:tcPr>
            <w:tcW w:w="662" w:type="dxa"/>
            <w:tcBorders>
              <w:top w:val="nil"/>
              <w:left w:val="nil"/>
              <w:bottom w:val="nil"/>
              <w:right w:val="nil"/>
            </w:tcBorders>
            <w:shd w:val="clear" w:color="000000" w:fill="00FFFF"/>
            <w:vAlign w:val="bottom"/>
            <w:hideMark/>
          </w:tcPr>
          <w:p w:rsidR="003671B8" w:rsidRPr="00CF4A89" w:rsidRDefault="00CF4A89" w:rsidP="003671B8">
            <w:pPr>
              <w:jc w:val="center"/>
              <w:rPr>
                <w:rFonts w:ascii="Times New Roman" w:hAnsi="Times New Roman" w:cs="Times New Roman"/>
                <w:b/>
                <w:bCs/>
                <w:sz w:val="14"/>
                <w:szCs w:val="14"/>
              </w:rPr>
            </w:pPr>
            <w:r w:rsidRPr="00CF4A89">
              <w:rPr>
                <w:rFonts w:ascii="Times New Roman" w:hAnsi="Times New Roman" w:cs="Times New Roman"/>
                <w:b/>
                <w:bCs/>
                <w:sz w:val="14"/>
                <w:szCs w:val="14"/>
              </w:rPr>
              <w:t>déc.-20</w:t>
            </w:r>
          </w:p>
        </w:tc>
        <w:tc>
          <w:tcPr>
            <w:tcW w:w="586" w:type="dxa"/>
            <w:tcBorders>
              <w:top w:val="nil"/>
              <w:left w:val="nil"/>
              <w:bottom w:val="nil"/>
              <w:right w:val="nil"/>
            </w:tcBorders>
            <w:shd w:val="clear" w:color="000000" w:fill="00FFFF"/>
            <w:vAlign w:val="bottom"/>
            <w:hideMark/>
          </w:tcPr>
          <w:p w:rsidR="003671B8" w:rsidRPr="008F03D9" w:rsidRDefault="00CF4A89" w:rsidP="003671B8">
            <w:pPr>
              <w:jc w:val="center"/>
              <w:rPr>
                <w:rFonts w:ascii="Times New Roman" w:hAnsi="Times New Roman" w:cs="Times New Roman"/>
                <w:b/>
                <w:bCs/>
                <w:sz w:val="14"/>
                <w:szCs w:val="14"/>
              </w:rPr>
            </w:pPr>
            <w:r>
              <w:rPr>
                <w:rFonts w:ascii="Times New Roman" w:hAnsi="Times New Roman" w:cs="Times New Roman"/>
                <w:b/>
                <w:bCs/>
                <w:sz w:val="14"/>
                <w:szCs w:val="14"/>
              </w:rPr>
              <w:t>jan</w:t>
            </w:r>
            <w:r w:rsidR="00945573" w:rsidRPr="008F03D9">
              <w:rPr>
                <w:rFonts w:ascii="Times New Roman" w:hAnsi="Times New Roman" w:cs="Times New Roman"/>
                <w:b/>
                <w:bCs/>
                <w:sz w:val="14"/>
                <w:szCs w:val="14"/>
              </w:rPr>
              <w:t>-2</w:t>
            </w:r>
            <w:r>
              <w:rPr>
                <w:rFonts w:ascii="Times New Roman" w:hAnsi="Times New Roman" w:cs="Times New Roman"/>
                <w:b/>
                <w:bCs/>
                <w:sz w:val="14"/>
                <w:szCs w:val="14"/>
              </w:rPr>
              <w:t>1</w:t>
            </w:r>
          </w:p>
        </w:tc>
        <w:tc>
          <w:tcPr>
            <w:tcW w:w="662" w:type="dxa"/>
            <w:tcBorders>
              <w:top w:val="nil"/>
              <w:left w:val="nil"/>
              <w:bottom w:val="nil"/>
              <w:right w:val="nil"/>
            </w:tcBorders>
            <w:shd w:val="clear" w:color="000000" w:fill="00FFFF"/>
            <w:vAlign w:val="bottom"/>
            <w:hideMark/>
          </w:tcPr>
          <w:p w:rsidR="003671B8" w:rsidRPr="008F03D9" w:rsidRDefault="00CF4A89" w:rsidP="003671B8">
            <w:pPr>
              <w:jc w:val="center"/>
              <w:rPr>
                <w:rFonts w:ascii="Times New Roman" w:hAnsi="Times New Roman" w:cs="Times New Roman"/>
                <w:b/>
                <w:bCs/>
                <w:sz w:val="14"/>
                <w:szCs w:val="14"/>
              </w:rPr>
            </w:pPr>
            <w:r>
              <w:rPr>
                <w:rFonts w:ascii="Times New Roman" w:hAnsi="Times New Roman" w:cs="Times New Roman"/>
                <w:b/>
                <w:bCs/>
                <w:sz w:val="14"/>
                <w:szCs w:val="14"/>
              </w:rPr>
              <w:t>fév</w:t>
            </w:r>
            <w:r w:rsidR="00945573" w:rsidRPr="008F03D9">
              <w:rPr>
                <w:rFonts w:ascii="Times New Roman" w:hAnsi="Times New Roman" w:cs="Times New Roman"/>
                <w:b/>
                <w:bCs/>
                <w:sz w:val="14"/>
                <w:szCs w:val="14"/>
              </w:rPr>
              <w:t>.-20</w:t>
            </w:r>
          </w:p>
        </w:tc>
        <w:tc>
          <w:tcPr>
            <w:tcW w:w="624" w:type="dxa"/>
            <w:tcBorders>
              <w:top w:val="nil"/>
              <w:left w:val="nil"/>
              <w:bottom w:val="nil"/>
              <w:right w:val="nil"/>
            </w:tcBorders>
            <w:shd w:val="clear" w:color="000000" w:fill="00FFFF"/>
            <w:vAlign w:val="bottom"/>
            <w:hideMark/>
          </w:tcPr>
          <w:p w:rsidR="003671B8" w:rsidRPr="008F03D9" w:rsidRDefault="00CF4A89" w:rsidP="003671B8">
            <w:pPr>
              <w:jc w:val="center"/>
              <w:rPr>
                <w:rFonts w:ascii="Times New Roman" w:hAnsi="Times New Roman" w:cs="Times New Roman"/>
                <w:b/>
                <w:bCs/>
                <w:sz w:val="14"/>
                <w:szCs w:val="14"/>
              </w:rPr>
            </w:pPr>
            <w:r>
              <w:rPr>
                <w:rFonts w:ascii="Times New Roman" w:hAnsi="Times New Roman" w:cs="Times New Roman"/>
                <w:b/>
                <w:bCs/>
                <w:sz w:val="14"/>
                <w:szCs w:val="14"/>
              </w:rPr>
              <w:t>mar.</w:t>
            </w:r>
            <w:r w:rsidR="00945573">
              <w:rPr>
                <w:rFonts w:ascii="Times New Roman" w:hAnsi="Times New Roman" w:cs="Times New Roman"/>
                <w:b/>
                <w:bCs/>
                <w:sz w:val="14"/>
                <w:szCs w:val="14"/>
              </w:rPr>
              <w:t>-21</w:t>
            </w:r>
          </w:p>
        </w:tc>
        <w:tc>
          <w:tcPr>
            <w:tcW w:w="576" w:type="dxa"/>
            <w:tcBorders>
              <w:top w:val="nil"/>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1 mois</w:t>
            </w:r>
          </w:p>
        </w:tc>
        <w:tc>
          <w:tcPr>
            <w:tcW w:w="589" w:type="dxa"/>
            <w:tcBorders>
              <w:top w:val="nil"/>
              <w:left w:val="nil"/>
              <w:bottom w:val="nil"/>
              <w:right w:val="nil"/>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3 mois</w:t>
            </w:r>
          </w:p>
        </w:tc>
        <w:tc>
          <w:tcPr>
            <w:tcW w:w="665" w:type="dxa"/>
            <w:tcBorders>
              <w:top w:val="nil"/>
              <w:left w:val="nil"/>
              <w:bottom w:val="nil"/>
              <w:right w:val="single" w:sz="4" w:space="0" w:color="auto"/>
            </w:tcBorders>
            <w:shd w:val="clear" w:color="000000" w:fill="00FFFF"/>
            <w:vAlign w:val="bottom"/>
            <w:hideMark/>
          </w:tcPr>
          <w:p w:rsidR="003671B8" w:rsidRPr="008F03D9" w:rsidRDefault="003671B8" w:rsidP="003671B8">
            <w:pPr>
              <w:jc w:val="center"/>
              <w:rPr>
                <w:rFonts w:ascii="Times New Roman" w:hAnsi="Times New Roman" w:cs="Times New Roman"/>
                <w:b/>
                <w:bCs/>
                <w:sz w:val="14"/>
                <w:szCs w:val="14"/>
              </w:rPr>
            </w:pPr>
            <w:r w:rsidRPr="008F03D9">
              <w:rPr>
                <w:rFonts w:ascii="Times New Roman" w:hAnsi="Times New Roman" w:cs="Times New Roman"/>
                <w:b/>
                <w:bCs/>
                <w:sz w:val="14"/>
                <w:szCs w:val="14"/>
              </w:rPr>
              <w:t>12 mois</w:t>
            </w:r>
          </w:p>
        </w:tc>
      </w:tr>
      <w:tr w:rsidR="003671B8" w:rsidRPr="008F03D9" w:rsidTr="00CF4A89">
        <w:trPr>
          <w:trHeight w:val="21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Alimentation et boisson non alcoolisées</w:t>
            </w:r>
          </w:p>
        </w:tc>
        <w:tc>
          <w:tcPr>
            <w:tcW w:w="481"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6"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24"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76"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589"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5" w:type="dxa"/>
            <w:tcBorders>
              <w:top w:val="single" w:sz="4" w:space="0" w:color="auto"/>
              <w:left w:val="nil"/>
              <w:bottom w:val="single" w:sz="4" w:space="0" w:color="auto"/>
              <w:right w:val="single" w:sz="4" w:space="0" w:color="auto"/>
            </w:tcBorders>
            <w:shd w:val="clear" w:color="auto" w:fill="auto"/>
            <w:noWrap/>
            <w:vAlign w:val="bottom"/>
            <w:hideMark/>
          </w:tcPr>
          <w:p w:rsidR="003671B8" w:rsidRPr="008F03D9" w:rsidRDefault="003671B8"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011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Produits alimentaires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3695</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102,4</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101,2</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101,2</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101,0</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103,6</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2,6%</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2,4%</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1,2%</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012</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Boissons non alcoolisées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color w:val="000000"/>
                <w:sz w:val="14"/>
                <w:szCs w:val="14"/>
              </w:rPr>
            </w:pPr>
            <w:r w:rsidRPr="008F03D9">
              <w:rPr>
                <w:rFonts w:ascii="Times New Roman" w:hAnsi="Times New Roman" w:cs="Times New Roman"/>
                <w:color w:val="000000"/>
                <w:sz w:val="14"/>
                <w:szCs w:val="14"/>
              </w:rPr>
              <w:t>56</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103,9</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103,0</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103,7</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103,3</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102,0</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-1,8%</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Boissons alcoolisées, tabac et stupéfiant</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021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Boissons alcoolisées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44</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103,8</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103,8</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103,5</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106,1</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104,8</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-1,2%</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022</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Tabacs et stupéfiants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12</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117,7</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116,0</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118,2</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119,9</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116,9</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-2,5%</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0,8%</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-0,7%</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Articles d'habillement et chaussures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031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Articles d'habillement</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446</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106,0</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108,9</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108,2</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108,7</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108,4</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-0,5%</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2,3%</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032</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Chaussures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63</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103,0</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107,3</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106,9</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107,7</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107,6</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4,5%</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Logement, eau, électricité, gaz et autres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041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Loyers effectifs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300</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104,6</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100,5</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102,3</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99,3</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102,4</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3,1%</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1,9%</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-2,1%</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043</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Entretien et réparation des logements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48</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105,3</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101,7</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103,4</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104,0</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107,2</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3,1%</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5,4%</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1,8%</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044</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Alimentation en eau et services divers lié au logement</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195</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89,1</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82,5</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82,1</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79,7</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82,1</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3,0%</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-0,5%</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-7,9%</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045</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proofErr w:type="spellStart"/>
            <w:r w:rsidRPr="008F03D9">
              <w:rPr>
                <w:rFonts w:ascii="Times New Roman" w:hAnsi="Times New Roman" w:cs="Times New Roman"/>
                <w:sz w:val="14"/>
                <w:szCs w:val="14"/>
              </w:rPr>
              <w:t>Electricite</w:t>
            </w:r>
            <w:proofErr w:type="spellEnd"/>
            <w:r w:rsidRPr="008F03D9">
              <w:rPr>
                <w:rFonts w:ascii="Times New Roman" w:hAnsi="Times New Roman" w:cs="Times New Roman"/>
                <w:sz w:val="14"/>
                <w:szCs w:val="14"/>
              </w:rPr>
              <w:t>, gaz et autres combustibles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544</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109,3</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100,9</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101,4</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102,7</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99,2</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-3,4%</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-1,7%</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-9,2%</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Meubles, articles de ménages et entretien</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051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proofErr w:type="gramStart"/>
            <w:r w:rsidRPr="008F03D9">
              <w:rPr>
                <w:rFonts w:ascii="Times New Roman" w:hAnsi="Times New Roman" w:cs="Times New Roman"/>
                <w:sz w:val="14"/>
                <w:szCs w:val="14"/>
              </w:rPr>
              <w:t>Meubles ,</w:t>
            </w:r>
            <w:proofErr w:type="gramEnd"/>
            <w:r w:rsidRPr="008F03D9">
              <w:rPr>
                <w:rFonts w:ascii="Times New Roman" w:hAnsi="Times New Roman" w:cs="Times New Roman"/>
                <w:sz w:val="14"/>
                <w:szCs w:val="14"/>
              </w:rPr>
              <w:t xml:space="preserve"> articles d'ameublement, tapis et autres revêtement</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38</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116,6</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117,4</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117,0</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117,7</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116,9</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-0,7%</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-0,4%</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052</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Articles de ménage en textiles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100,9</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102,6</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100,6</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100,9</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101,0</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-1,6%</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053</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Appareils ménagers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98,9</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99,2</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99,1</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99,8</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99,3</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0,4%</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054</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Verrerie, vaisselle et ustensiles de ménage</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23</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104,7</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105,6</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105,1</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105,8</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105,9</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055</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Outillage et autre matériel pour la maison et le jardin</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11</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111,3</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112,0</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111,2</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112,0</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111,5</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-0,4%</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-0,4%</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056</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Biens et services liés à l'entretien courant du foyer</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134</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104,6</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104,4</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104,3</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105,0</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104,3</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-0,7%</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Santé</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061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Produits, appareils et matériels médicaux</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215</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98,9</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99,6</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99,8</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99,7</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99,9</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062</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Services ambulatoires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76</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108,3</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108,6</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108,5</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108,6</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108,4</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063</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Services hospitaliers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165</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102,9</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102,9</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102,9</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102,9</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102,8</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Transport</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071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Achat de véhicules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72</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96,4</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97,2</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95,6</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96,3</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96,2</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072</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Dépenses d'utilisation des véhicules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669</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97,0</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94,3</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92,1</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92,5</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92,1</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-0,4%</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-2,3%</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-5,1%</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073</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Services de transport</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361</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131,5</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134,2</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129,5</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130,0</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130,7</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-2,6%</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-0,6%</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Communication</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081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Services postaux</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100,9</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100,9</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100,7</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100,6</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100,3</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-0,6%</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-0,6%</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082</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Matériel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43</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101,6</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102,5</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102,3</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102,5</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101,2</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-1,3%</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-0,4%</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083</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Services de téléphonie et de télécopie</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394</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99,4</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99,4</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99,2</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99,1</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98,8</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-0,6%</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-0,6%</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Loisirs et cultures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091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Matériel audiovisuel, photographique et de traitement de l'image et du son</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20</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99,3</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100,6</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98,9</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99,2</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99,4</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-1,2%</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093</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Autres articles et matériel de loisirs, de jardinage et animaux</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7</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100,8</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101,8</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100,2</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100,5</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100,2</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-1,6%</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-0,6%</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094</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Services récréatifs et culturels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100,4</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101,1</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99,1</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99,4</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99,1</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-2,0%</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-1,3%</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095</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Journaux, livres et articles de papeterie</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117</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102,2</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102,6</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101,0</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101,2</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101,0</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-1,6%</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-1,2%</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096</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Forfaits touristiques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9</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99,6</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99,9</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119,2</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119,5</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119,1</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19,2%</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19,6%</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Enseignements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101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xml:space="preserve">Enseignement </w:t>
            </w:r>
            <w:proofErr w:type="spellStart"/>
            <w:r w:rsidRPr="008F03D9">
              <w:rPr>
                <w:rFonts w:ascii="Times New Roman" w:hAnsi="Times New Roman" w:cs="Times New Roman"/>
                <w:sz w:val="14"/>
                <w:szCs w:val="14"/>
              </w:rPr>
              <w:t>pré-élémentaire</w:t>
            </w:r>
            <w:proofErr w:type="spellEnd"/>
            <w:r w:rsidRPr="008F03D9">
              <w:rPr>
                <w:rFonts w:ascii="Times New Roman" w:hAnsi="Times New Roman" w:cs="Times New Roman"/>
                <w:sz w:val="14"/>
                <w:szCs w:val="14"/>
              </w:rPr>
              <w:t xml:space="preserve"> et primaire</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162</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107,8</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108,0</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108,0</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107,6</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108,1</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0,5%</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102</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Enseignement secondaire</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230</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99,7</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99,5</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99,6</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99,4</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99,7</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0,0%</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104</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Enseignement supérieur</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106</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100,4</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100,4</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100,5</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100,1</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100,4</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0,0%</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0,0%</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105</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Enseignement post-secondaire non supérieur et Enseignement non défini par niveau</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66</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106,4</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106,6</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106,5</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106,1</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106,4</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0,0%</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Restaurants et hôtel</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111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Services de restauration</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1129</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103,7</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102,9</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103,0</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103,0</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103,1</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-0,6%</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112</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Services d'hébergement</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27</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98,2</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95,6</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95,0</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97,1</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97,4</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1,9%</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-0,8%</w:t>
            </w:r>
          </w:p>
        </w:tc>
      </w:tr>
      <w:tr w:rsidR="00CF4A89" w:rsidRPr="008F03D9" w:rsidTr="00CF4A89">
        <w:trPr>
          <w:trHeight w:val="180"/>
        </w:trPr>
        <w:tc>
          <w:tcPr>
            <w:tcW w:w="42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Biens et services divers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color w:val="000000"/>
                <w:sz w:val="14"/>
                <w:szCs w:val="14"/>
              </w:rPr>
            </w:pPr>
            <w:r w:rsidRPr="008F03D9">
              <w:rPr>
                <w:rFonts w:ascii="Times New Roman" w:hAnsi="Times New Roman" w:cs="Times New Roman"/>
                <w:color w:val="000000"/>
                <w:sz w:val="14"/>
                <w:szCs w:val="14"/>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rPr>
                <w:color w:val="000000"/>
                <w:sz w:val="12"/>
                <w:szCs w:val="12"/>
              </w:rPr>
            </w:pPr>
            <w:r>
              <w:rPr>
                <w:color w:val="000000"/>
                <w:sz w:val="12"/>
                <w:szCs w:val="12"/>
              </w:rPr>
              <w:t> </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121</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Soins corporels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281</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107,8</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109,9</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109,4</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110,1</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110,1</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0,0%</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0,2%</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2,1%</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123</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vertAlign w:val="superscript"/>
              </w:rPr>
            </w:pPr>
            <w:r w:rsidRPr="008F03D9">
              <w:rPr>
                <w:rFonts w:ascii="Times New Roman" w:hAnsi="Times New Roman" w:cs="Times New Roman"/>
                <w:sz w:val="14"/>
                <w:szCs w:val="14"/>
              </w:rPr>
              <w:t xml:space="preserve">Effets personnels </w:t>
            </w:r>
            <w:proofErr w:type="spellStart"/>
            <w:r w:rsidRPr="008F03D9">
              <w:rPr>
                <w:rFonts w:ascii="Times New Roman" w:hAnsi="Times New Roman" w:cs="Times New Roman"/>
                <w:sz w:val="14"/>
                <w:szCs w:val="14"/>
              </w:rPr>
              <w:t>n.c.a</w:t>
            </w:r>
            <w:proofErr w:type="spellEnd"/>
            <w:r w:rsidRPr="008F03D9">
              <w:rPr>
                <w:rFonts w:ascii="Times New Roman" w:hAnsi="Times New Roman" w:cs="Times New Roman"/>
                <w:sz w:val="14"/>
                <w:szCs w:val="14"/>
                <w:vertAlign w:val="superscript"/>
              </w:rPr>
              <w:t>*</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30</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104,3</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105,8</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104,8</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105,1</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103,2</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-1,8%</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-2,5%</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-1,1%</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124</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Protection sociale et assurance</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5</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94,1</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94,8</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94,1</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94,7</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90,6</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-4,3%</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-4,4%</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-3,7%</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126</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Services financiers</w:t>
            </w:r>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19</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101,6</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102,6</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102,9</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103,5</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101,7</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-1,7%</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-0,9%</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0,1%</w:t>
            </w:r>
          </w:p>
        </w:tc>
      </w:tr>
      <w:tr w:rsidR="00CF4A89" w:rsidRPr="008F03D9" w:rsidTr="00CF4A89">
        <w:trPr>
          <w:trHeight w:val="180"/>
        </w:trPr>
        <w:tc>
          <w:tcPr>
            <w:tcW w:w="647" w:type="dxa"/>
            <w:tcBorders>
              <w:top w:val="nil"/>
              <w:left w:val="single" w:sz="4" w:space="0" w:color="auto"/>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127</w:t>
            </w:r>
          </w:p>
        </w:tc>
        <w:tc>
          <w:tcPr>
            <w:tcW w:w="3640"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rPr>
                <w:rFonts w:ascii="Times New Roman" w:hAnsi="Times New Roman" w:cs="Times New Roman"/>
                <w:sz w:val="14"/>
                <w:szCs w:val="14"/>
              </w:rPr>
            </w:pPr>
            <w:r w:rsidRPr="008F03D9">
              <w:rPr>
                <w:rFonts w:ascii="Times New Roman" w:hAnsi="Times New Roman" w:cs="Times New Roman"/>
                <w:sz w:val="14"/>
                <w:szCs w:val="14"/>
              </w:rPr>
              <w:t xml:space="preserve">Autres services </w:t>
            </w:r>
            <w:proofErr w:type="spellStart"/>
            <w:r w:rsidRPr="008F03D9">
              <w:rPr>
                <w:rFonts w:ascii="Times New Roman" w:hAnsi="Times New Roman" w:cs="Times New Roman"/>
                <w:sz w:val="14"/>
                <w:szCs w:val="14"/>
              </w:rPr>
              <w:t>n.c.a</w:t>
            </w:r>
            <w:proofErr w:type="spellEnd"/>
          </w:p>
        </w:tc>
        <w:tc>
          <w:tcPr>
            <w:tcW w:w="481" w:type="dxa"/>
            <w:tcBorders>
              <w:top w:val="nil"/>
              <w:left w:val="nil"/>
              <w:bottom w:val="single" w:sz="4" w:space="0" w:color="auto"/>
              <w:right w:val="single" w:sz="4" w:space="0" w:color="auto"/>
            </w:tcBorders>
            <w:shd w:val="clear" w:color="auto" w:fill="auto"/>
            <w:noWrap/>
            <w:vAlign w:val="bottom"/>
            <w:hideMark/>
          </w:tcPr>
          <w:p w:rsidR="00CF4A89" w:rsidRPr="008F03D9" w:rsidRDefault="00CF4A89" w:rsidP="003671B8">
            <w:pPr>
              <w:jc w:val="right"/>
              <w:rPr>
                <w:rFonts w:ascii="Times New Roman" w:hAnsi="Times New Roman" w:cs="Times New Roman"/>
                <w:sz w:val="14"/>
                <w:szCs w:val="14"/>
              </w:rPr>
            </w:pPr>
            <w:r w:rsidRPr="008F03D9">
              <w:rPr>
                <w:rFonts w:ascii="Times New Roman" w:hAnsi="Times New Roman" w:cs="Times New Roman"/>
                <w:sz w:val="14"/>
                <w:szCs w:val="14"/>
              </w:rPr>
              <w:t>158</w:t>
            </w:r>
          </w:p>
        </w:tc>
        <w:tc>
          <w:tcPr>
            <w:tcW w:w="681"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103,6</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104,6</w:t>
            </w:r>
          </w:p>
        </w:tc>
        <w:tc>
          <w:tcPr>
            <w:tcW w:w="58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103,2</w:t>
            </w:r>
          </w:p>
        </w:tc>
        <w:tc>
          <w:tcPr>
            <w:tcW w:w="662"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103,7</w:t>
            </w:r>
          </w:p>
        </w:tc>
        <w:tc>
          <w:tcPr>
            <w:tcW w:w="624"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101,9</w:t>
            </w:r>
          </w:p>
        </w:tc>
        <w:tc>
          <w:tcPr>
            <w:tcW w:w="576"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-1,7%</w:t>
            </w:r>
          </w:p>
        </w:tc>
        <w:tc>
          <w:tcPr>
            <w:tcW w:w="589"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-2,6%</w:t>
            </w:r>
          </w:p>
        </w:tc>
        <w:tc>
          <w:tcPr>
            <w:tcW w:w="665" w:type="dxa"/>
            <w:tcBorders>
              <w:top w:val="nil"/>
              <w:left w:val="nil"/>
              <w:bottom w:val="single" w:sz="4" w:space="0" w:color="auto"/>
              <w:right w:val="single" w:sz="4" w:space="0" w:color="auto"/>
            </w:tcBorders>
            <w:shd w:val="clear" w:color="auto" w:fill="auto"/>
            <w:noWrap/>
            <w:vAlign w:val="bottom"/>
            <w:hideMark/>
          </w:tcPr>
          <w:p w:rsidR="00CF4A89" w:rsidRDefault="00CF4A89">
            <w:pPr>
              <w:jc w:val="right"/>
              <w:rPr>
                <w:color w:val="000000"/>
                <w:sz w:val="12"/>
                <w:szCs w:val="12"/>
              </w:rPr>
            </w:pPr>
            <w:r>
              <w:rPr>
                <w:color w:val="000000"/>
                <w:sz w:val="12"/>
                <w:szCs w:val="12"/>
              </w:rPr>
              <w:t>-1,6%</w:t>
            </w:r>
          </w:p>
        </w:tc>
      </w:tr>
    </w:tbl>
    <w:p w:rsidR="003671B8" w:rsidRPr="00F4774D" w:rsidRDefault="003671B8" w:rsidP="003671B8">
      <w:pPr>
        <w:spacing w:before="120"/>
        <w:rPr>
          <w:rFonts w:ascii="Times New Roman" w:hAnsi="Times New Roman" w:cs="Times New Roman"/>
          <w:sz w:val="14"/>
          <w:szCs w:val="14"/>
        </w:rPr>
      </w:pPr>
      <w:r w:rsidRPr="00F4774D">
        <w:rPr>
          <w:rFonts w:ascii="Times New Roman" w:hAnsi="Times New Roman" w:cs="Times New Roman"/>
          <w:sz w:val="12"/>
          <w:szCs w:val="12"/>
        </w:rPr>
        <w:t>*</w:t>
      </w:r>
      <w:proofErr w:type="spellStart"/>
      <w:r w:rsidRPr="00F4774D">
        <w:rPr>
          <w:rFonts w:ascii="Times New Roman" w:hAnsi="Times New Roman" w:cs="Times New Roman"/>
          <w:sz w:val="14"/>
          <w:szCs w:val="14"/>
        </w:rPr>
        <w:t>n.c.a</w:t>
      </w:r>
      <w:proofErr w:type="spellEnd"/>
      <w:r w:rsidRPr="00F4774D">
        <w:rPr>
          <w:rFonts w:ascii="Times New Roman" w:hAnsi="Times New Roman" w:cs="Times New Roman"/>
          <w:sz w:val="14"/>
          <w:szCs w:val="14"/>
        </w:rPr>
        <w:t> : non classés ailleurs.</w:t>
      </w:r>
    </w:p>
    <w:p w:rsidR="003671B8" w:rsidRDefault="003671B8" w:rsidP="003671B8">
      <w:pPr>
        <w:spacing w:before="120"/>
        <w:rPr>
          <w:rFonts w:ascii="Times New Roman" w:hAnsi="Times New Roman" w:cs="Times New Roman"/>
          <w:bCs/>
          <w:sz w:val="16"/>
          <w:szCs w:val="16"/>
        </w:rPr>
      </w:pPr>
      <w:r w:rsidRPr="00F4774D">
        <w:rPr>
          <w:rFonts w:ascii="Times New Roman" w:hAnsi="Times New Roman" w:cs="Times New Roman"/>
          <w:bCs/>
          <w:sz w:val="16"/>
          <w:szCs w:val="16"/>
          <w:u w:val="single"/>
        </w:rPr>
        <w:t>Source</w:t>
      </w:r>
      <w:r w:rsidR="00EA37C7">
        <w:rPr>
          <w:rFonts w:ascii="Times New Roman" w:hAnsi="Times New Roman" w:cs="Times New Roman"/>
          <w:bCs/>
          <w:sz w:val="16"/>
          <w:szCs w:val="16"/>
        </w:rPr>
        <w:t xml:space="preserve"> : DSS/INSAE, </w:t>
      </w:r>
      <w:r w:rsidR="000814FF">
        <w:rPr>
          <w:rFonts w:ascii="Times New Roman" w:hAnsi="Times New Roman" w:cs="Times New Roman"/>
          <w:bCs/>
          <w:sz w:val="16"/>
          <w:szCs w:val="16"/>
        </w:rPr>
        <w:t>mars</w:t>
      </w:r>
      <w:r w:rsidR="00053949">
        <w:rPr>
          <w:rFonts w:ascii="Times New Roman" w:hAnsi="Times New Roman" w:cs="Times New Roman"/>
          <w:bCs/>
          <w:sz w:val="16"/>
          <w:szCs w:val="16"/>
        </w:rPr>
        <w:t xml:space="preserve">  2021</w:t>
      </w:r>
    </w:p>
    <w:p w:rsidR="00AD0E64" w:rsidRDefault="00AD0E64" w:rsidP="003671B8">
      <w:pPr>
        <w:spacing w:before="120"/>
        <w:rPr>
          <w:rFonts w:ascii="Times New Roman" w:hAnsi="Times New Roman" w:cs="Times New Roman"/>
          <w:bCs/>
          <w:sz w:val="16"/>
          <w:szCs w:val="16"/>
        </w:rPr>
      </w:pPr>
    </w:p>
    <w:p w:rsidR="00AD0E64" w:rsidRPr="00AD0E64" w:rsidRDefault="00AD0E64" w:rsidP="003671B8">
      <w:pPr>
        <w:spacing w:before="120"/>
        <w:rPr>
          <w:rFonts w:ascii="Times New Roman" w:hAnsi="Times New Roman" w:cs="Times New Roman"/>
          <w:bCs/>
          <w:sz w:val="16"/>
          <w:szCs w:val="16"/>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r w:rsidRPr="00EF65B5">
        <w:rPr>
          <w:rFonts w:ascii="Times New Roman" w:hAnsi="Times New Roman" w:cs="Times New Roman"/>
          <w:b/>
          <w:bCs/>
          <w:sz w:val="16"/>
          <w:szCs w:val="16"/>
        </w:rPr>
        <w:t>Institut National de la Statistique et de l’Analyse Economique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jc w:val="center"/>
        <w:outlineLvl w:val="0"/>
        <w:rPr>
          <w:rFonts w:ascii="Times New Roman" w:hAnsi="Times New Roman" w:cs="Times New Roman"/>
          <w:b/>
          <w:bCs/>
          <w:sz w:val="16"/>
          <w:szCs w:val="16"/>
        </w:rPr>
      </w:pP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01 BP 323 Cotonou, Tél. (229) 21 30 82 44 /21 30 82 45, Fax: (229) 21 30 82 46</w:t>
      </w:r>
    </w:p>
    <w:p w:rsidR="003671B8"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sidRPr="00EF65B5">
        <w:rPr>
          <w:rFonts w:ascii="Times New Roman" w:hAnsi="Times New Roman" w:cs="Times New Roman"/>
          <w:sz w:val="16"/>
          <w:szCs w:val="16"/>
        </w:rPr>
        <w:t xml:space="preserve">Directeur Général : HOUNSA Laurent </w:t>
      </w:r>
      <w:proofErr w:type="spellStart"/>
      <w:r w:rsidRPr="00EF65B5">
        <w:rPr>
          <w:rFonts w:ascii="Times New Roman" w:hAnsi="Times New Roman" w:cs="Times New Roman"/>
          <w:sz w:val="16"/>
          <w:szCs w:val="16"/>
        </w:rPr>
        <w:t>Mahounou</w:t>
      </w:r>
      <w:proofErr w:type="spellEnd"/>
    </w:p>
    <w:p w:rsidR="00360546" w:rsidRPr="00EF65B5" w:rsidRDefault="00360546" w:rsidP="003671B8">
      <w:pPr>
        <w:pBdr>
          <w:top w:val="single" w:sz="18" w:space="0" w:color="auto" w:shadow="1"/>
          <w:left w:val="single" w:sz="18" w:space="1" w:color="auto" w:shadow="1"/>
          <w:bottom w:val="single" w:sz="18" w:space="3" w:color="auto" w:shadow="1"/>
          <w:right w:val="single" w:sz="18" w:space="7" w:color="auto" w:shadow="1"/>
        </w:pBdr>
        <w:spacing w:line="276" w:lineRule="auto"/>
        <w:outlineLvl w:val="0"/>
        <w:rPr>
          <w:rFonts w:ascii="Times New Roman" w:hAnsi="Times New Roman" w:cs="Times New Roman"/>
          <w:sz w:val="16"/>
          <w:szCs w:val="16"/>
        </w:rPr>
      </w:pPr>
      <w:r>
        <w:rPr>
          <w:rFonts w:ascii="Times New Roman" w:hAnsi="Times New Roman" w:cs="Times New Roman"/>
          <w:sz w:val="16"/>
          <w:szCs w:val="16"/>
        </w:rPr>
        <w:t>Directeur Général Adjoint : DAGA Jules</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Directrice des Statistiques Sociales : AHOVEY A. Elise C.</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spacing w:line="276" w:lineRule="auto"/>
        <w:rPr>
          <w:rFonts w:ascii="Times New Roman" w:hAnsi="Times New Roman" w:cs="Times New Roman"/>
          <w:sz w:val="16"/>
          <w:szCs w:val="16"/>
        </w:rPr>
      </w:pPr>
      <w:r w:rsidRPr="00EF65B5">
        <w:rPr>
          <w:rFonts w:ascii="Times New Roman" w:hAnsi="Times New Roman" w:cs="Times New Roman"/>
          <w:sz w:val="16"/>
          <w:szCs w:val="16"/>
        </w:rPr>
        <w:t>Chef Service des Conditions de Vie des Ménages : DANSOU</w:t>
      </w:r>
      <w:r w:rsidR="00EF65B5">
        <w:rPr>
          <w:rFonts w:ascii="Times New Roman" w:hAnsi="Times New Roman" w:cs="Times New Roman"/>
          <w:sz w:val="16"/>
          <w:szCs w:val="16"/>
        </w:rPr>
        <w:t xml:space="preserve"> A. T.</w:t>
      </w:r>
      <w:r w:rsidRPr="00EF65B5">
        <w:rPr>
          <w:rFonts w:ascii="Times New Roman" w:hAnsi="Times New Roman" w:cs="Times New Roman"/>
          <w:sz w:val="16"/>
          <w:szCs w:val="16"/>
        </w:rPr>
        <w:t xml:space="preserve"> Sylvestre</w:t>
      </w:r>
    </w:p>
    <w:p w:rsidR="003671B8" w:rsidRPr="00EF65B5" w:rsidRDefault="003671B8" w:rsidP="003671B8">
      <w:pPr>
        <w:pBdr>
          <w:top w:val="single" w:sz="18" w:space="0" w:color="auto" w:shadow="1"/>
          <w:left w:val="single" w:sz="18" w:space="1" w:color="auto" w:shadow="1"/>
          <w:bottom w:val="single" w:sz="18" w:space="3" w:color="auto" w:shadow="1"/>
          <w:right w:val="single" w:sz="18" w:space="7" w:color="auto" w:shadow="1"/>
        </w:pBdr>
        <w:tabs>
          <w:tab w:val="left" w:pos="2835"/>
        </w:tabs>
        <w:spacing w:line="276" w:lineRule="auto"/>
        <w:rPr>
          <w:rFonts w:ascii="Times New Roman" w:hAnsi="Times New Roman" w:cs="Times New Roman"/>
          <w:sz w:val="16"/>
          <w:szCs w:val="16"/>
        </w:rPr>
      </w:pPr>
      <w:r w:rsidRPr="00EF65B5">
        <w:rPr>
          <w:rFonts w:ascii="Times New Roman" w:hAnsi="Times New Roman" w:cs="Times New Roman"/>
          <w:sz w:val="16"/>
          <w:szCs w:val="16"/>
        </w:rPr>
        <w:t>Collaborateur : AKOHONWE D. Marcel</w:t>
      </w:r>
    </w:p>
    <w:p w:rsidR="003671B8" w:rsidRPr="003671B8" w:rsidRDefault="003671B8" w:rsidP="003671B8"/>
    <w:sectPr w:rsidR="003671B8" w:rsidRPr="003671B8" w:rsidSect="007F5C5D">
      <w:footerReference w:type="default" r:id="rId14"/>
      <w:pgSz w:w="11906" w:h="16838"/>
      <w:pgMar w:top="284" w:right="1134" w:bottom="993"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ADC" w:rsidRDefault="00767ADC">
      <w:r>
        <w:separator/>
      </w:r>
    </w:p>
  </w:endnote>
  <w:endnote w:type="continuationSeparator" w:id="0">
    <w:p w:rsidR="00767ADC" w:rsidRDefault="0076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Light">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E64" w:rsidRDefault="00767ADC" w:rsidP="00AD0E64">
    <w:pPr>
      <w:pStyle w:val="Pieddepage"/>
      <w:pBdr>
        <w:bottom w:val="thinThickSmallGap" w:sz="24" w:space="1" w:color="339966"/>
      </w:pBdr>
      <w:rPr>
        <w:lang w:val="en-US"/>
      </w:rPr>
    </w:pPr>
    <w:sdt>
      <w:sdtPr>
        <w:id w:val="-1838375462"/>
        <w:docPartObj>
          <w:docPartGallery w:val="Page Numbers (Bottom of Page)"/>
          <w:docPartUnique/>
        </w:docPartObj>
      </w:sdtPr>
      <w:sdtEndPr/>
      <w:sdtContent>
        <w: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30.65pt;margin-top:-.25pt;width:17.85pt;height:18.75pt;z-index:251659264;visibility:visible;mso-wrap-distance-left:9pt;mso-wrap-distance-top:0;mso-wrap-distance-right:9pt;mso-wrap-distance-bottom:0;mso-position-horizontal-relative:right-margin-area;mso-position-vertical-relative:bottom-margin-area;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" o:allowincell="f" adj="14135" strokecolor="gray" strokeweight=".25pt">
              <v:textbox>
                <w:txbxContent>
                  <w:p w:rsidR="00AD0E64" w:rsidRDefault="00AD0E64">
                    <w:pPr>
                      <w:jc w:val="center"/>
                    </w:pPr>
                    <w:r>
                      <w:fldChar w:fldCharType="begin"/>
                    </w:r>
                    <w:r>
                      <w:instrText>PAGE    \* MERGEFORMAT</w:instrText>
                    </w:r>
                    <w:r>
                      <w:fldChar w:fldCharType="separate"/>
                    </w:r>
                    <w:r w:rsidR="00FE17DC" w:rsidRPr="00FE17DC">
                      <w:rPr>
                        <w:noProof/>
                        <w:sz w:val="16"/>
                        <w:szCs w:val="16"/>
                      </w:rPr>
                      <w:t>6</w:t>
                    </w:r>
                    <w:r>
                      <w:rPr>
                        <w:sz w:val="16"/>
                        <w:szCs w:val="16"/>
                      </w:rPr>
                      <w:fldChar w:fldCharType="end"/>
                    </w:r>
                  </w:p>
                </w:txbxContent>
              </v:textbox>
              <w10:wrap anchorx="margin" anchory="margin"/>
            </v:shape>
          </w:pict>
        </w:r>
      </w:sdtContent>
    </w:sdt>
    <w:r w:rsidR="00AD0E64" w:rsidRPr="00AD0E64">
      <w:rPr>
        <w:lang w:val="en-US"/>
      </w:rPr>
      <w:t xml:space="preserve"> </w:t>
    </w:r>
  </w:p>
  <w:p w:rsidR="00AD0E64" w:rsidRPr="00262D3A" w:rsidRDefault="00AD0E64" w:rsidP="00AD0E64">
    <w:pPr>
      <w:pStyle w:val="Pieddepage"/>
      <w:tabs>
        <w:tab w:val="left" w:pos="6096"/>
        <w:tab w:val="left" w:pos="6379"/>
      </w:tabs>
      <w:rPr>
        <w:rFonts w:ascii="Montserrat Light" w:hAnsi="Montserrat Light"/>
        <w:sz w:val="16"/>
        <w:szCs w:val="16"/>
      </w:rPr>
    </w:pPr>
    <w:r w:rsidRPr="00262D3A">
      <w:rPr>
        <w:rFonts w:ascii="Montserrat Light" w:hAnsi="Montserrat Light"/>
        <w:sz w:val="16"/>
        <w:szCs w:val="16"/>
      </w:rPr>
      <w:t xml:space="preserve">Téléphone : 21-30-82-44                01 B.P. : 323 </w:t>
    </w:r>
    <w:r w:rsidRPr="00262D3A">
      <w:rPr>
        <w:rFonts w:ascii="Montserrat Light" w:hAnsi="Montserrat Light"/>
        <w:sz w:val="16"/>
        <w:szCs w:val="16"/>
        <w:lang w:val="pt-PT"/>
      </w:rPr>
      <w:t>COTONOU - BENIN</w:t>
    </w:r>
    <w:r w:rsidRPr="00262D3A">
      <w:rPr>
        <w:rFonts w:ascii="Montserrat Light" w:hAnsi="Montserrat Light"/>
        <w:sz w:val="16"/>
        <w:szCs w:val="16"/>
      </w:rPr>
      <w:t xml:space="preserve">                                 </w:t>
    </w:r>
    <w:r>
      <w:rPr>
        <w:rFonts w:ascii="Montserrat Light" w:hAnsi="Montserrat Light"/>
        <w:sz w:val="16"/>
        <w:szCs w:val="16"/>
      </w:rPr>
      <w:t xml:space="preserve">                                     </w:t>
    </w:r>
    <w:r w:rsidRPr="00262D3A">
      <w:rPr>
        <w:rFonts w:ascii="Montserrat Light" w:hAnsi="Montserrat Light"/>
        <w:sz w:val="16"/>
        <w:szCs w:val="16"/>
      </w:rPr>
      <w:t xml:space="preserve">IFU : 4201001686513                      </w:t>
    </w:r>
  </w:p>
  <w:p w:rsidR="00AD0E64" w:rsidRPr="00D27E57" w:rsidRDefault="00AD0E64" w:rsidP="00AD0E64">
    <w:pPr>
      <w:pStyle w:val="Pieddepage"/>
      <w:tabs>
        <w:tab w:val="left" w:pos="6096"/>
        <w:tab w:val="left" w:pos="6379"/>
      </w:tabs>
      <w:rPr>
        <w:sz w:val="18"/>
        <w:szCs w:val="18"/>
      </w:rPr>
    </w:pPr>
    <w:r>
      <w:rPr>
        <w:rFonts w:ascii="Montserrat Light" w:hAnsi="Montserrat Light"/>
        <w:sz w:val="16"/>
        <w:szCs w:val="16"/>
        <w:lang w:val="pt-PT"/>
      </w:rPr>
      <w:t xml:space="preserve">                      </w:t>
    </w:r>
    <w:r w:rsidRPr="00262D3A">
      <w:rPr>
        <w:rFonts w:ascii="Montserrat Light" w:hAnsi="Montserrat Light"/>
        <w:sz w:val="16"/>
        <w:szCs w:val="16"/>
        <w:lang w:val="pt-PT"/>
      </w:rPr>
      <w:t xml:space="preserve">21-30-82-45                     E-mail : </w:t>
    </w:r>
    <w:hyperlink r:id="rId1" w:history="1">
      <w:r w:rsidRPr="007B4AD3">
        <w:rPr>
          <w:rStyle w:val="Lienhypertexte"/>
          <w:rFonts w:ascii="Montserrat Light" w:hAnsi="Montserrat Light"/>
          <w:sz w:val="16"/>
          <w:szCs w:val="16"/>
          <w:lang w:val="pt-PT"/>
        </w:rPr>
        <w:t>insae@insae.bj</w:t>
      </w:r>
    </w:hyperlink>
    <w:r w:rsidRPr="00174A8B">
      <w:t xml:space="preserve">                                   </w:t>
    </w:r>
    <w:r>
      <w:t xml:space="preserve">                                   </w:t>
    </w:r>
    <w:r w:rsidRPr="00262D3A">
      <w:rPr>
        <w:rFonts w:ascii="Montserrat Light" w:hAnsi="Montserrat Light"/>
        <w:sz w:val="16"/>
        <w:szCs w:val="16"/>
      </w:rPr>
      <w:t xml:space="preserve">Site Web : </w:t>
    </w:r>
    <w:r w:rsidRPr="0062689B">
      <w:rPr>
        <w:rFonts w:ascii="Montserrat Light" w:hAnsi="Montserrat Light"/>
        <w:sz w:val="16"/>
        <w:szCs w:val="16"/>
        <w:u w:val="single"/>
      </w:rPr>
      <w:t>www.insae.bj</w:t>
    </w:r>
  </w:p>
  <w:p w:rsidR="0072309F" w:rsidRDefault="0072309F">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ADC" w:rsidRDefault="00767ADC">
      <w:r>
        <w:separator/>
      </w:r>
    </w:p>
  </w:footnote>
  <w:footnote w:type="continuationSeparator" w:id="0">
    <w:p w:rsidR="00767ADC" w:rsidRDefault="00767ADC">
      <w:r>
        <w:continuationSeparator/>
      </w:r>
    </w:p>
  </w:footnote>
  <w:footnote w:id="1">
    <w:p w:rsidR="007A45A1" w:rsidRPr="00091BE3" w:rsidRDefault="007A45A1" w:rsidP="003671B8">
      <w:pPr>
        <w:pStyle w:val="Notedebasdepage"/>
        <w:rPr>
          <w:sz w:val="16"/>
          <w:szCs w:val="16"/>
        </w:rPr>
      </w:pPr>
      <w:r w:rsidRPr="00EB2CCF">
        <w:rPr>
          <w:rStyle w:val="Appelnotedebasdep"/>
          <w:sz w:val="16"/>
          <w:szCs w:val="16"/>
        </w:rPr>
        <w:footnoteRef/>
      </w:r>
      <w:r w:rsidRPr="00EB2CCF">
        <w:rPr>
          <w:b/>
          <w:sz w:val="16"/>
          <w:szCs w:val="16"/>
        </w:rPr>
        <w:t>L’indicateur de convergence</w:t>
      </w:r>
      <w:r w:rsidRPr="00EB2CCF">
        <w:rPr>
          <w:sz w:val="16"/>
          <w:szCs w:val="16"/>
        </w:rPr>
        <w:t xml:space="preserve"> est le rapport entre la moyenne des indices des douze derniers mois et la moyenne des indices des douze mois qui les précèdent</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B37A8"/>
    <w:multiLevelType w:val="hybridMultilevel"/>
    <w:tmpl w:val="B5F04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FF7127"/>
    <w:multiLevelType w:val="hybridMultilevel"/>
    <w:tmpl w:val="504CFD48"/>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8D16AC"/>
    <w:multiLevelType w:val="hybridMultilevel"/>
    <w:tmpl w:val="F2762F0C"/>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D224B1"/>
    <w:multiLevelType w:val="hybridMultilevel"/>
    <w:tmpl w:val="8EC2352A"/>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D233B20"/>
    <w:multiLevelType w:val="hybridMultilevel"/>
    <w:tmpl w:val="F014D140"/>
    <w:lvl w:ilvl="0" w:tplc="53F4202C">
      <w:start w:val="1"/>
      <w:numFmt w:val="bullet"/>
      <w:lvlText w:val="-"/>
      <w:lvlJc w:val="left"/>
      <w:pPr>
        <w:ind w:left="720" w:hanging="360"/>
      </w:pPr>
      <w:rPr>
        <w:rFonts w:ascii="Sitka Text" w:hAnsi="Sitka Tex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003692E"/>
    <w:multiLevelType w:val="hybridMultilevel"/>
    <w:tmpl w:val="C816678E"/>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D9F19A6"/>
    <w:multiLevelType w:val="hybridMultilevel"/>
    <w:tmpl w:val="582A9586"/>
    <w:lvl w:ilvl="0" w:tplc="0284C1FA">
      <w:start w:val="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64437"/>
    <w:rsid w:val="00017FDB"/>
    <w:rsid w:val="00025F0B"/>
    <w:rsid w:val="0003200C"/>
    <w:rsid w:val="000323F2"/>
    <w:rsid w:val="00052360"/>
    <w:rsid w:val="00053949"/>
    <w:rsid w:val="00070A4E"/>
    <w:rsid w:val="00075822"/>
    <w:rsid w:val="000814FF"/>
    <w:rsid w:val="000B537B"/>
    <w:rsid w:val="000C45BD"/>
    <w:rsid w:val="000D0552"/>
    <w:rsid w:val="001006AD"/>
    <w:rsid w:val="00101AFF"/>
    <w:rsid w:val="00104905"/>
    <w:rsid w:val="00104AC7"/>
    <w:rsid w:val="00123C7B"/>
    <w:rsid w:val="00154663"/>
    <w:rsid w:val="00154BDD"/>
    <w:rsid w:val="00186229"/>
    <w:rsid w:val="0019394B"/>
    <w:rsid w:val="00194F76"/>
    <w:rsid w:val="00195FF9"/>
    <w:rsid w:val="001A3E20"/>
    <w:rsid w:val="001A60CB"/>
    <w:rsid w:val="001B2909"/>
    <w:rsid w:val="001C3A4D"/>
    <w:rsid w:val="00200463"/>
    <w:rsid w:val="00205F6C"/>
    <w:rsid w:val="00211BED"/>
    <w:rsid w:val="002213B9"/>
    <w:rsid w:val="0023290D"/>
    <w:rsid w:val="00235369"/>
    <w:rsid w:val="0023597F"/>
    <w:rsid w:val="00260480"/>
    <w:rsid w:val="00262D3A"/>
    <w:rsid w:val="002661DB"/>
    <w:rsid w:val="00287418"/>
    <w:rsid w:val="00294508"/>
    <w:rsid w:val="002A775F"/>
    <w:rsid w:val="002C4BBA"/>
    <w:rsid w:val="002E26B4"/>
    <w:rsid w:val="003022A6"/>
    <w:rsid w:val="0030459A"/>
    <w:rsid w:val="0030704E"/>
    <w:rsid w:val="003256CC"/>
    <w:rsid w:val="003325FE"/>
    <w:rsid w:val="00332968"/>
    <w:rsid w:val="00336A6A"/>
    <w:rsid w:val="0034156F"/>
    <w:rsid w:val="003460E8"/>
    <w:rsid w:val="00352E34"/>
    <w:rsid w:val="00356D08"/>
    <w:rsid w:val="00360546"/>
    <w:rsid w:val="00364437"/>
    <w:rsid w:val="003671B8"/>
    <w:rsid w:val="0039225F"/>
    <w:rsid w:val="00397D09"/>
    <w:rsid w:val="003A7171"/>
    <w:rsid w:val="003B1E9B"/>
    <w:rsid w:val="003B48B9"/>
    <w:rsid w:val="003B5C79"/>
    <w:rsid w:val="003C343B"/>
    <w:rsid w:val="003D1F89"/>
    <w:rsid w:val="003D3CEE"/>
    <w:rsid w:val="003E2810"/>
    <w:rsid w:val="003F7A38"/>
    <w:rsid w:val="0040497C"/>
    <w:rsid w:val="00416C85"/>
    <w:rsid w:val="00422F07"/>
    <w:rsid w:val="0042781F"/>
    <w:rsid w:val="00443B27"/>
    <w:rsid w:val="00450496"/>
    <w:rsid w:val="00451C49"/>
    <w:rsid w:val="00453753"/>
    <w:rsid w:val="004542EC"/>
    <w:rsid w:val="00456052"/>
    <w:rsid w:val="004577D5"/>
    <w:rsid w:val="0046672A"/>
    <w:rsid w:val="004749CB"/>
    <w:rsid w:val="00487666"/>
    <w:rsid w:val="004B0E3A"/>
    <w:rsid w:val="004C0AB0"/>
    <w:rsid w:val="004D75B7"/>
    <w:rsid w:val="004D7E57"/>
    <w:rsid w:val="004D7FDD"/>
    <w:rsid w:val="005034F5"/>
    <w:rsid w:val="005121E1"/>
    <w:rsid w:val="00522AB6"/>
    <w:rsid w:val="00530285"/>
    <w:rsid w:val="00553A9E"/>
    <w:rsid w:val="005758FB"/>
    <w:rsid w:val="00580DCF"/>
    <w:rsid w:val="005810A3"/>
    <w:rsid w:val="00581389"/>
    <w:rsid w:val="0058147B"/>
    <w:rsid w:val="00583CFA"/>
    <w:rsid w:val="00583FBC"/>
    <w:rsid w:val="005867FF"/>
    <w:rsid w:val="005A5C89"/>
    <w:rsid w:val="005B0154"/>
    <w:rsid w:val="005B4051"/>
    <w:rsid w:val="005C18B2"/>
    <w:rsid w:val="005C5AA9"/>
    <w:rsid w:val="005D1F00"/>
    <w:rsid w:val="005D4C2E"/>
    <w:rsid w:val="005E3A2C"/>
    <w:rsid w:val="005F31C6"/>
    <w:rsid w:val="00602416"/>
    <w:rsid w:val="0061426F"/>
    <w:rsid w:val="00615488"/>
    <w:rsid w:val="0062689B"/>
    <w:rsid w:val="00630B86"/>
    <w:rsid w:val="00636321"/>
    <w:rsid w:val="00637FA0"/>
    <w:rsid w:val="006565B1"/>
    <w:rsid w:val="00690FC6"/>
    <w:rsid w:val="006972F4"/>
    <w:rsid w:val="006A7CC5"/>
    <w:rsid w:val="006D563C"/>
    <w:rsid w:val="006E2DEF"/>
    <w:rsid w:val="006F2DDD"/>
    <w:rsid w:val="00702005"/>
    <w:rsid w:val="0072309F"/>
    <w:rsid w:val="00733198"/>
    <w:rsid w:val="007545AB"/>
    <w:rsid w:val="00754CAC"/>
    <w:rsid w:val="00761BE6"/>
    <w:rsid w:val="00767ADC"/>
    <w:rsid w:val="00770D05"/>
    <w:rsid w:val="00770ED4"/>
    <w:rsid w:val="007A2730"/>
    <w:rsid w:val="007A2F55"/>
    <w:rsid w:val="007A45A1"/>
    <w:rsid w:val="007B2C2C"/>
    <w:rsid w:val="007B2EE2"/>
    <w:rsid w:val="007C7C6E"/>
    <w:rsid w:val="007D17BA"/>
    <w:rsid w:val="007D59A2"/>
    <w:rsid w:val="007E6837"/>
    <w:rsid w:val="007F5C5D"/>
    <w:rsid w:val="0080208F"/>
    <w:rsid w:val="00812092"/>
    <w:rsid w:val="0081467C"/>
    <w:rsid w:val="00831075"/>
    <w:rsid w:val="008316F1"/>
    <w:rsid w:val="008636B0"/>
    <w:rsid w:val="00873ED6"/>
    <w:rsid w:val="00890434"/>
    <w:rsid w:val="008A4593"/>
    <w:rsid w:val="008B5D6B"/>
    <w:rsid w:val="008D1DD5"/>
    <w:rsid w:val="008D49FD"/>
    <w:rsid w:val="008E3D0C"/>
    <w:rsid w:val="008E5A57"/>
    <w:rsid w:val="008E620E"/>
    <w:rsid w:val="008F03D9"/>
    <w:rsid w:val="00930E3D"/>
    <w:rsid w:val="00945573"/>
    <w:rsid w:val="009533F3"/>
    <w:rsid w:val="00955E41"/>
    <w:rsid w:val="009615E2"/>
    <w:rsid w:val="00971549"/>
    <w:rsid w:val="0097441C"/>
    <w:rsid w:val="0097627D"/>
    <w:rsid w:val="00983E63"/>
    <w:rsid w:val="009A1366"/>
    <w:rsid w:val="009A2E9F"/>
    <w:rsid w:val="009A47B7"/>
    <w:rsid w:val="009B79F4"/>
    <w:rsid w:val="009D13C0"/>
    <w:rsid w:val="009D4B94"/>
    <w:rsid w:val="009E1CF0"/>
    <w:rsid w:val="009F11B5"/>
    <w:rsid w:val="00A00B1E"/>
    <w:rsid w:val="00A238DB"/>
    <w:rsid w:val="00A44EFD"/>
    <w:rsid w:val="00A50B4A"/>
    <w:rsid w:val="00A50E0E"/>
    <w:rsid w:val="00A55318"/>
    <w:rsid w:val="00AC011D"/>
    <w:rsid w:val="00AD0E64"/>
    <w:rsid w:val="00B00AB2"/>
    <w:rsid w:val="00B0115D"/>
    <w:rsid w:val="00B16003"/>
    <w:rsid w:val="00B164D2"/>
    <w:rsid w:val="00B41C78"/>
    <w:rsid w:val="00B54150"/>
    <w:rsid w:val="00B54C88"/>
    <w:rsid w:val="00B57B13"/>
    <w:rsid w:val="00B8553D"/>
    <w:rsid w:val="00BD59F7"/>
    <w:rsid w:val="00BE28ED"/>
    <w:rsid w:val="00BF596E"/>
    <w:rsid w:val="00C2412B"/>
    <w:rsid w:val="00C26A1D"/>
    <w:rsid w:val="00C41D2B"/>
    <w:rsid w:val="00C51117"/>
    <w:rsid w:val="00C75B0A"/>
    <w:rsid w:val="00C80059"/>
    <w:rsid w:val="00C80FD5"/>
    <w:rsid w:val="00C83454"/>
    <w:rsid w:val="00C843F9"/>
    <w:rsid w:val="00C963FD"/>
    <w:rsid w:val="00CA6611"/>
    <w:rsid w:val="00CB09E8"/>
    <w:rsid w:val="00CB0B44"/>
    <w:rsid w:val="00CC6C64"/>
    <w:rsid w:val="00CF4A89"/>
    <w:rsid w:val="00D0573E"/>
    <w:rsid w:val="00D06349"/>
    <w:rsid w:val="00D13313"/>
    <w:rsid w:val="00D20BC4"/>
    <w:rsid w:val="00D30AFA"/>
    <w:rsid w:val="00D34197"/>
    <w:rsid w:val="00DA066E"/>
    <w:rsid w:val="00DB6180"/>
    <w:rsid w:val="00DC45BA"/>
    <w:rsid w:val="00DE174A"/>
    <w:rsid w:val="00DE3D28"/>
    <w:rsid w:val="00E30742"/>
    <w:rsid w:val="00E30F76"/>
    <w:rsid w:val="00E36D16"/>
    <w:rsid w:val="00E44FB0"/>
    <w:rsid w:val="00E60E7F"/>
    <w:rsid w:val="00E61568"/>
    <w:rsid w:val="00E61B69"/>
    <w:rsid w:val="00E731F6"/>
    <w:rsid w:val="00EA37C7"/>
    <w:rsid w:val="00EB071D"/>
    <w:rsid w:val="00EB1632"/>
    <w:rsid w:val="00EF0798"/>
    <w:rsid w:val="00EF12EE"/>
    <w:rsid w:val="00EF4E7A"/>
    <w:rsid w:val="00EF65B5"/>
    <w:rsid w:val="00F22D57"/>
    <w:rsid w:val="00F35A3C"/>
    <w:rsid w:val="00F4774D"/>
    <w:rsid w:val="00F81425"/>
    <w:rsid w:val="00F95652"/>
    <w:rsid w:val="00FA6EAE"/>
    <w:rsid w:val="00FC3DC3"/>
    <w:rsid w:val="00FD3299"/>
    <w:rsid w:val="00FE0938"/>
    <w:rsid w:val="00FE17DC"/>
    <w:rsid w:val="00FF5E2D"/>
    <w:rsid w:val="00FF5EE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D2272C-3AC8-4FAE-A460-A8CD6DCD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37"/>
    <w:pPr>
      <w:spacing w:after="0" w:line="240" w:lineRule="auto"/>
    </w:pPr>
    <w:rPr>
      <w:rFonts w:ascii="Calibri" w:eastAsia="Times New Roman" w:hAnsi="Calibri" w:cs="Calibri"/>
    </w:rPr>
  </w:style>
  <w:style w:type="paragraph" w:styleId="Titre1">
    <w:name w:val="heading 1"/>
    <w:basedOn w:val="Normal"/>
    <w:next w:val="Normal"/>
    <w:link w:val="Titre1Car"/>
    <w:uiPriority w:val="9"/>
    <w:qFormat/>
    <w:rsid w:val="003671B8"/>
    <w:pPr>
      <w:keepNext/>
      <w:spacing w:before="240" w:after="60"/>
      <w:outlineLvl w:val="0"/>
    </w:pPr>
    <w:rPr>
      <w:rFonts w:ascii="Cambria" w:hAnsi="Cambria" w:cs="Times New Roman"/>
      <w:b/>
      <w:bCs/>
      <w:kern w:val="32"/>
      <w:sz w:val="32"/>
      <w:szCs w:val="32"/>
      <w:lang w:val="fr-BE"/>
    </w:rPr>
  </w:style>
  <w:style w:type="paragraph" w:styleId="Titre2">
    <w:name w:val="heading 2"/>
    <w:basedOn w:val="Normal"/>
    <w:next w:val="Normal"/>
    <w:link w:val="Titre2Car"/>
    <w:uiPriority w:val="9"/>
    <w:unhideWhenUsed/>
    <w:qFormat/>
    <w:rsid w:val="003671B8"/>
    <w:pPr>
      <w:keepNext/>
      <w:spacing w:before="240" w:after="60"/>
      <w:outlineLvl w:val="1"/>
    </w:pPr>
    <w:rPr>
      <w:rFonts w:ascii="Cambria" w:hAnsi="Cambria" w:cs="Times New Roman"/>
      <w:b/>
      <w:bCs/>
      <w:i/>
      <w:iCs/>
      <w:sz w:val="28"/>
      <w:szCs w:val="28"/>
      <w:lang w:val="fr-BE"/>
    </w:rPr>
  </w:style>
  <w:style w:type="paragraph" w:styleId="Titre3">
    <w:name w:val="heading 3"/>
    <w:basedOn w:val="Normal"/>
    <w:link w:val="Titre3Car"/>
    <w:uiPriority w:val="9"/>
    <w:qFormat/>
    <w:rsid w:val="00364437"/>
    <w:pPr>
      <w:spacing w:before="100" w:beforeAutospacing="1" w:after="100" w:afterAutospacing="1"/>
      <w:outlineLvl w:val="2"/>
    </w:pPr>
    <w:rPr>
      <w:rFonts w:ascii="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3671B8"/>
    <w:pPr>
      <w:keepNext/>
      <w:keepLines/>
      <w:spacing w:before="200"/>
      <w:outlineLvl w:val="3"/>
    </w:pPr>
    <w:rPr>
      <w:rFonts w:asciiTheme="majorHAnsi" w:eastAsiaTheme="majorEastAsia" w:hAnsiTheme="majorHAnsi" w:cstheme="majorBidi"/>
      <w:b/>
      <w:bCs/>
      <w:i/>
      <w:iCs/>
      <w:color w:val="5B9BD5" w:themeColor="accent1"/>
    </w:rPr>
  </w:style>
  <w:style w:type="paragraph" w:styleId="Titre5">
    <w:name w:val="heading 5"/>
    <w:basedOn w:val="Normal"/>
    <w:next w:val="Normal"/>
    <w:link w:val="Titre5Car"/>
    <w:uiPriority w:val="9"/>
    <w:unhideWhenUsed/>
    <w:qFormat/>
    <w:rsid w:val="003671B8"/>
    <w:pPr>
      <w:keepNext/>
      <w:keepLines/>
      <w:spacing w:before="200"/>
      <w:outlineLvl w:val="4"/>
    </w:pPr>
    <w:rPr>
      <w:rFonts w:asciiTheme="majorHAnsi" w:eastAsiaTheme="majorEastAsia" w:hAnsiTheme="majorHAnsi" w:cstheme="majorBidi"/>
      <w:color w:val="1F4D78" w:themeColor="accent1" w:themeShade="7F"/>
    </w:rPr>
  </w:style>
  <w:style w:type="paragraph" w:styleId="Titre8">
    <w:name w:val="heading 8"/>
    <w:basedOn w:val="Normal"/>
    <w:next w:val="Normal"/>
    <w:link w:val="Titre8Car"/>
    <w:uiPriority w:val="9"/>
    <w:semiHidden/>
    <w:unhideWhenUsed/>
    <w:qFormat/>
    <w:rsid w:val="007F5C5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71B8"/>
    <w:rPr>
      <w:rFonts w:ascii="Cambria" w:eastAsia="Times New Roman" w:hAnsi="Cambria" w:cs="Times New Roman"/>
      <w:b/>
      <w:bCs/>
      <w:kern w:val="32"/>
      <w:sz w:val="32"/>
      <w:szCs w:val="32"/>
      <w:lang w:val="fr-BE"/>
    </w:rPr>
  </w:style>
  <w:style w:type="character" w:customStyle="1" w:styleId="Titre2Car">
    <w:name w:val="Titre 2 Car"/>
    <w:basedOn w:val="Policepardfaut"/>
    <w:link w:val="Titre2"/>
    <w:uiPriority w:val="9"/>
    <w:rsid w:val="003671B8"/>
    <w:rPr>
      <w:rFonts w:ascii="Cambria" w:eastAsia="Times New Roman" w:hAnsi="Cambria" w:cs="Times New Roman"/>
      <w:b/>
      <w:bCs/>
      <w:i/>
      <w:iCs/>
      <w:sz w:val="28"/>
      <w:szCs w:val="28"/>
      <w:lang w:val="fr-BE"/>
    </w:rPr>
  </w:style>
  <w:style w:type="character" w:customStyle="1" w:styleId="Titre3Car">
    <w:name w:val="Titre 3 Car"/>
    <w:basedOn w:val="Policepardfaut"/>
    <w:link w:val="Titre3"/>
    <w:uiPriority w:val="9"/>
    <w:rsid w:val="00364437"/>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semiHidden/>
    <w:rsid w:val="003671B8"/>
    <w:rPr>
      <w:rFonts w:asciiTheme="majorHAnsi" w:eastAsiaTheme="majorEastAsia" w:hAnsiTheme="majorHAnsi" w:cstheme="majorBidi"/>
      <w:b/>
      <w:bCs/>
      <w:i/>
      <w:iCs/>
      <w:color w:val="5B9BD5" w:themeColor="accent1"/>
    </w:rPr>
  </w:style>
  <w:style w:type="character" w:customStyle="1" w:styleId="Titre5Car">
    <w:name w:val="Titre 5 Car"/>
    <w:basedOn w:val="Policepardfaut"/>
    <w:link w:val="Titre5"/>
    <w:uiPriority w:val="9"/>
    <w:rsid w:val="003671B8"/>
    <w:rPr>
      <w:rFonts w:asciiTheme="majorHAnsi" w:eastAsiaTheme="majorEastAsia" w:hAnsiTheme="majorHAnsi" w:cstheme="majorBidi"/>
      <w:color w:val="1F4D78" w:themeColor="accent1" w:themeShade="7F"/>
    </w:rPr>
  </w:style>
  <w:style w:type="character" w:customStyle="1" w:styleId="Titre8Car">
    <w:name w:val="Titre 8 Car"/>
    <w:basedOn w:val="Policepardfaut"/>
    <w:link w:val="Titre8"/>
    <w:rsid w:val="007F5C5D"/>
    <w:rPr>
      <w:rFonts w:asciiTheme="majorHAnsi" w:eastAsiaTheme="majorEastAsia" w:hAnsiTheme="majorHAnsi" w:cstheme="majorBidi"/>
      <w:color w:val="272727" w:themeColor="text1" w:themeTint="D8"/>
      <w:sz w:val="21"/>
      <w:szCs w:val="21"/>
    </w:rPr>
  </w:style>
  <w:style w:type="paragraph" w:styleId="Pieddepage">
    <w:name w:val="footer"/>
    <w:basedOn w:val="Normal"/>
    <w:link w:val="PieddepageCar"/>
    <w:uiPriority w:val="99"/>
    <w:rsid w:val="00364437"/>
    <w:pPr>
      <w:tabs>
        <w:tab w:val="center" w:pos="4536"/>
        <w:tab w:val="right" w:pos="9072"/>
      </w:tabs>
    </w:pPr>
    <w:rPr>
      <w:rFonts w:cs="Times New Roman"/>
      <w:sz w:val="20"/>
      <w:szCs w:val="20"/>
    </w:rPr>
  </w:style>
  <w:style w:type="character" w:customStyle="1" w:styleId="PieddepageCar">
    <w:name w:val="Pied de page Car"/>
    <w:basedOn w:val="Policepardfaut"/>
    <w:link w:val="Pieddepage"/>
    <w:uiPriority w:val="99"/>
    <w:rsid w:val="00364437"/>
    <w:rPr>
      <w:rFonts w:ascii="Calibri" w:eastAsia="Times New Roman" w:hAnsi="Calibri" w:cs="Times New Roman"/>
      <w:sz w:val="20"/>
      <w:szCs w:val="20"/>
    </w:rPr>
  </w:style>
  <w:style w:type="character" w:styleId="Lienhypertexte">
    <w:name w:val="Hyperlink"/>
    <w:rsid w:val="00364437"/>
    <w:rPr>
      <w:color w:val="0000FF"/>
      <w:u w:val="single"/>
    </w:rPr>
  </w:style>
  <w:style w:type="paragraph" w:styleId="Paragraphedeliste">
    <w:name w:val="List Paragraph"/>
    <w:basedOn w:val="Normal"/>
    <w:uiPriority w:val="34"/>
    <w:qFormat/>
    <w:rsid w:val="00930E3D"/>
    <w:pPr>
      <w:ind w:left="720"/>
      <w:contextualSpacing/>
    </w:pPr>
  </w:style>
  <w:style w:type="paragraph" w:styleId="Textedebulles">
    <w:name w:val="Balloon Text"/>
    <w:basedOn w:val="Normal"/>
    <w:link w:val="TextedebullesCar"/>
    <w:uiPriority w:val="99"/>
    <w:semiHidden/>
    <w:unhideWhenUsed/>
    <w:rsid w:val="00EF4E7A"/>
    <w:rPr>
      <w:rFonts w:ascii="Segoe UI" w:hAnsi="Segoe UI" w:cs="Segoe UI"/>
      <w:sz w:val="18"/>
      <w:szCs w:val="18"/>
    </w:rPr>
  </w:style>
  <w:style w:type="character" w:customStyle="1" w:styleId="TextedebullesCar">
    <w:name w:val="Texte de bulles Car"/>
    <w:basedOn w:val="Policepardfaut"/>
    <w:link w:val="Textedebulles"/>
    <w:uiPriority w:val="99"/>
    <w:semiHidden/>
    <w:rsid w:val="00EF4E7A"/>
    <w:rPr>
      <w:rFonts w:ascii="Segoe UI" w:eastAsia="Times New Roman" w:hAnsi="Segoe UI" w:cs="Segoe UI"/>
      <w:sz w:val="18"/>
      <w:szCs w:val="18"/>
    </w:rPr>
  </w:style>
  <w:style w:type="paragraph" w:styleId="Corpsdetexte2">
    <w:name w:val="Body Text 2"/>
    <w:basedOn w:val="Normal"/>
    <w:link w:val="Corpsdetexte2Car"/>
    <w:uiPriority w:val="99"/>
    <w:unhideWhenUsed/>
    <w:rsid w:val="00BE28ED"/>
    <w:pPr>
      <w:spacing w:after="120" w:line="480" w:lineRule="auto"/>
    </w:pPr>
    <w:rPr>
      <w:rFonts w:cs="Times New Roman"/>
    </w:rPr>
  </w:style>
  <w:style w:type="character" w:customStyle="1" w:styleId="Corpsdetexte2Car">
    <w:name w:val="Corps de texte 2 Car"/>
    <w:basedOn w:val="Policepardfaut"/>
    <w:link w:val="Corpsdetexte2"/>
    <w:uiPriority w:val="99"/>
    <w:rsid w:val="00BE28ED"/>
    <w:rPr>
      <w:rFonts w:ascii="Calibri" w:eastAsia="Times New Roman" w:hAnsi="Calibri" w:cs="Times New Roman"/>
    </w:rPr>
  </w:style>
  <w:style w:type="paragraph" w:styleId="En-tte">
    <w:name w:val="header"/>
    <w:basedOn w:val="Normal"/>
    <w:link w:val="En-tteCar"/>
    <w:uiPriority w:val="99"/>
    <w:unhideWhenUsed/>
    <w:rsid w:val="00BE28ED"/>
    <w:pPr>
      <w:tabs>
        <w:tab w:val="center" w:pos="4536"/>
        <w:tab w:val="right" w:pos="9072"/>
      </w:tabs>
    </w:pPr>
  </w:style>
  <w:style w:type="character" w:customStyle="1" w:styleId="En-tteCar">
    <w:name w:val="En-tête Car"/>
    <w:basedOn w:val="Policepardfaut"/>
    <w:link w:val="En-tte"/>
    <w:uiPriority w:val="99"/>
    <w:rsid w:val="00BE28ED"/>
    <w:rPr>
      <w:rFonts w:ascii="Calibri" w:eastAsia="Times New Roman" w:hAnsi="Calibri" w:cs="Calibri"/>
    </w:rPr>
  </w:style>
  <w:style w:type="paragraph" w:styleId="En-ttedetabledesmatires">
    <w:name w:val="TOC Heading"/>
    <w:basedOn w:val="Titre1"/>
    <w:next w:val="Normal"/>
    <w:uiPriority w:val="39"/>
    <w:unhideWhenUsed/>
    <w:qFormat/>
    <w:rsid w:val="003671B8"/>
    <w:pPr>
      <w:keepLines/>
      <w:spacing w:before="480" w:after="0"/>
      <w:outlineLvl w:val="9"/>
    </w:pPr>
    <w:rPr>
      <w:color w:val="365F91"/>
      <w:kern w:val="0"/>
      <w:sz w:val="28"/>
      <w:szCs w:val="28"/>
    </w:rPr>
  </w:style>
  <w:style w:type="paragraph" w:customStyle="1" w:styleId="TTTT">
    <w:name w:val="TTTT"/>
    <w:basedOn w:val="Normal"/>
    <w:qFormat/>
    <w:rsid w:val="003671B8"/>
    <w:pPr>
      <w:pBdr>
        <w:bottom w:val="thickThinSmallGap" w:sz="24" w:space="1" w:color="auto"/>
      </w:pBdr>
      <w:jc w:val="center"/>
    </w:pPr>
    <w:rPr>
      <w:rFonts w:ascii="Times New Roman" w:hAnsi="Times New Roman" w:cs="Times New Roman"/>
      <w:b/>
      <w:sz w:val="32"/>
      <w:szCs w:val="40"/>
      <w:lang w:eastAsia="fr-FR"/>
    </w:rPr>
  </w:style>
  <w:style w:type="paragraph" w:customStyle="1" w:styleId="TITRE10">
    <w:name w:val="TITRE1"/>
    <w:basedOn w:val="Normal"/>
    <w:qFormat/>
    <w:rsid w:val="003671B8"/>
    <w:pPr>
      <w:spacing w:line="360" w:lineRule="auto"/>
      <w:ind w:left="1035" w:hanging="495"/>
      <w:jc w:val="both"/>
    </w:pPr>
    <w:rPr>
      <w:rFonts w:ascii="Times New Roman" w:hAnsi="Times New Roman" w:cs="Times New Roman"/>
      <w:b/>
      <w:sz w:val="26"/>
      <w:szCs w:val="26"/>
      <w:lang w:eastAsia="fr-FR"/>
    </w:rPr>
  </w:style>
  <w:style w:type="paragraph" w:styleId="Lgende">
    <w:name w:val="caption"/>
    <w:basedOn w:val="Normal"/>
    <w:next w:val="Normal"/>
    <w:uiPriority w:val="35"/>
    <w:unhideWhenUsed/>
    <w:qFormat/>
    <w:rsid w:val="003671B8"/>
    <w:rPr>
      <w:rFonts w:ascii="Times New Roman" w:hAnsi="Times New Roman" w:cs="Times New Roman"/>
      <w:b/>
      <w:bCs/>
      <w:sz w:val="20"/>
      <w:szCs w:val="20"/>
      <w:lang w:eastAsia="fr-FR"/>
    </w:rPr>
  </w:style>
  <w:style w:type="paragraph" w:styleId="Citation">
    <w:name w:val="Quote"/>
    <w:aliases w:val="Tableau"/>
    <w:basedOn w:val="Normal"/>
    <w:next w:val="Normal"/>
    <w:link w:val="CitationCar"/>
    <w:uiPriority w:val="29"/>
    <w:qFormat/>
    <w:rsid w:val="003671B8"/>
    <w:rPr>
      <w:rFonts w:ascii="Arial" w:eastAsia="Calibri" w:hAnsi="Arial" w:cs="Times New Roman"/>
      <w:iCs/>
      <w:color w:val="FFFFFF"/>
      <w:sz w:val="20"/>
      <w:lang w:val="fr-BE"/>
    </w:rPr>
  </w:style>
  <w:style w:type="character" w:customStyle="1" w:styleId="CitationCar">
    <w:name w:val="Citation Car"/>
    <w:aliases w:val="Tableau Car"/>
    <w:basedOn w:val="Policepardfaut"/>
    <w:link w:val="Citation"/>
    <w:uiPriority w:val="29"/>
    <w:rsid w:val="003671B8"/>
    <w:rPr>
      <w:rFonts w:ascii="Arial" w:eastAsia="Calibri" w:hAnsi="Arial" w:cs="Times New Roman"/>
      <w:iCs/>
      <w:color w:val="FFFFFF"/>
      <w:sz w:val="20"/>
      <w:lang w:val="fr-BE"/>
    </w:rPr>
  </w:style>
  <w:style w:type="paragraph" w:styleId="Tabledesillustrations">
    <w:name w:val="table of figures"/>
    <w:basedOn w:val="Normal"/>
    <w:next w:val="Normal"/>
    <w:uiPriority w:val="99"/>
    <w:unhideWhenUsed/>
    <w:rsid w:val="003671B8"/>
    <w:rPr>
      <w:rFonts w:ascii="Times New Roman" w:hAnsi="Times New Roman" w:cs="Times New Roman"/>
      <w:sz w:val="24"/>
      <w:szCs w:val="24"/>
      <w:lang w:eastAsia="fr-FR"/>
    </w:rPr>
  </w:style>
  <w:style w:type="paragraph" w:styleId="Notedebasdepage">
    <w:name w:val="footnote text"/>
    <w:basedOn w:val="Normal"/>
    <w:link w:val="NotedebasdepageCar"/>
    <w:uiPriority w:val="99"/>
    <w:semiHidden/>
    <w:rsid w:val="003671B8"/>
    <w:rPr>
      <w:rFonts w:ascii="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3671B8"/>
    <w:rPr>
      <w:rFonts w:ascii="Times New Roman" w:eastAsia="Times New Roman" w:hAnsi="Times New Roman" w:cs="Times New Roman"/>
      <w:sz w:val="20"/>
      <w:szCs w:val="20"/>
      <w:lang w:eastAsia="fr-FR"/>
    </w:rPr>
  </w:style>
  <w:style w:type="character" w:styleId="Appelnotedebasdep">
    <w:name w:val="footnote reference"/>
    <w:uiPriority w:val="99"/>
    <w:semiHidden/>
    <w:rsid w:val="003671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26931">
      <w:bodyDiv w:val="1"/>
      <w:marLeft w:val="0"/>
      <w:marRight w:val="0"/>
      <w:marTop w:val="0"/>
      <w:marBottom w:val="0"/>
      <w:divBdr>
        <w:top w:val="none" w:sz="0" w:space="0" w:color="auto"/>
        <w:left w:val="none" w:sz="0" w:space="0" w:color="auto"/>
        <w:bottom w:val="none" w:sz="0" w:space="0" w:color="auto"/>
        <w:right w:val="none" w:sz="0" w:space="0" w:color="auto"/>
      </w:divBdr>
    </w:div>
    <w:div w:id="697850661">
      <w:bodyDiv w:val="1"/>
      <w:marLeft w:val="0"/>
      <w:marRight w:val="0"/>
      <w:marTop w:val="0"/>
      <w:marBottom w:val="0"/>
      <w:divBdr>
        <w:top w:val="none" w:sz="0" w:space="0" w:color="auto"/>
        <w:left w:val="none" w:sz="0" w:space="0" w:color="auto"/>
        <w:bottom w:val="none" w:sz="0" w:space="0" w:color="auto"/>
        <w:right w:val="none" w:sz="0" w:space="0" w:color="auto"/>
      </w:divBdr>
    </w:div>
    <w:div w:id="848063597">
      <w:bodyDiv w:val="1"/>
      <w:marLeft w:val="0"/>
      <w:marRight w:val="0"/>
      <w:marTop w:val="0"/>
      <w:marBottom w:val="0"/>
      <w:divBdr>
        <w:top w:val="none" w:sz="0" w:space="0" w:color="auto"/>
        <w:left w:val="none" w:sz="0" w:space="0" w:color="auto"/>
        <w:bottom w:val="none" w:sz="0" w:space="0" w:color="auto"/>
        <w:right w:val="none" w:sz="0" w:space="0" w:color="auto"/>
      </w:divBdr>
    </w:div>
    <w:div w:id="933784418">
      <w:bodyDiv w:val="1"/>
      <w:marLeft w:val="0"/>
      <w:marRight w:val="0"/>
      <w:marTop w:val="0"/>
      <w:marBottom w:val="0"/>
      <w:divBdr>
        <w:top w:val="none" w:sz="0" w:space="0" w:color="auto"/>
        <w:left w:val="none" w:sz="0" w:space="0" w:color="auto"/>
        <w:bottom w:val="none" w:sz="0" w:space="0" w:color="auto"/>
        <w:right w:val="none" w:sz="0" w:space="0" w:color="auto"/>
      </w:divBdr>
    </w:div>
    <w:div w:id="161455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sae@insae.b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ervice%20Prix\Desktop\INHPC\Mars%202021\Fichier%20publication%20IHP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ervice%20Prix\Desktop\INHPC\Mars%202021\Fichier%20publication%20IHPC.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Service%20Prix\Desktop\INHPC\Mars%202021\Fichier%20publication%20IHPC.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ervice%20Prix\Desktop\INHPC\Mars%202021\Fichier%20publication%20IHPC.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Service%20Prix\Desktop\INHPC\Mars%202021\Fichier%20publication%20IHP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90909090909112E-2"/>
          <c:y val="4.1666807952229851E-2"/>
          <c:w val="0.83442050263197665"/>
          <c:h val="0.7615762613006708"/>
        </c:manualLayout>
      </c:layout>
      <c:lineChart>
        <c:grouping val="standard"/>
        <c:varyColors val="0"/>
        <c:ser>
          <c:idx val="0"/>
          <c:order val="0"/>
          <c:tx>
            <c:strRef>
              <c:f>'Evol taux d''inf'!$A$2</c:f>
              <c:strCache>
                <c:ptCount val="1"/>
                <c:pt idx="0">
                  <c:v>Taux d'inflation (en critère de convergence)</c:v>
                </c:pt>
              </c:strCache>
            </c:strRef>
          </c:tx>
          <c:cat>
            <c:numRef>
              <c:f>'Evol taux d''inf'!$B$1:$Z$1</c:f>
              <c:numCache>
                <c:formatCode>mmm\-yy</c:formatCode>
                <c:ptCount val="25"/>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numCache>
            </c:numRef>
          </c:cat>
          <c:val>
            <c:numRef>
              <c:f>'Evol taux d''inf'!$B$2:$Z$2</c:f>
              <c:numCache>
                <c:formatCode>0.0%</c:formatCode>
                <c:ptCount val="25"/>
                <c:pt idx="0">
                  <c:v>8.3494682179790138E-3</c:v>
                </c:pt>
                <c:pt idx="1">
                  <c:v>6.7334068362507899E-3</c:v>
                </c:pt>
                <c:pt idx="2">
                  <c:v>4.4030542586241984E-3</c:v>
                </c:pt>
                <c:pt idx="3">
                  <c:v>-1.6434280615471601E-3</c:v>
                </c:pt>
                <c:pt idx="4">
                  <c:v>-6.339588444465475E-3</c:v>
                </c:pt>
                <c:pt idx="5">
                  <c:v>-8.7401092706833692E-3</c:v>
                </c:pt>
                <c:pt idx="6">
                  <c:v>-1.0732861317790072E-2</c:v>
                </c:pt>
                <c:pt idx="7">
                  <c:v>-1.1244557741498592E-2</c:v>
                </c:pt>
                <c:pt idx="8">
                  <c:v>-9.5605523631186011E-3</c:v>
                </c:pt>
                <c:pt idx="9">
                  <c:v>-9.1677761877134688E-3</c:v>
                </c:pt>
                <c:pt idx="10">
                  <c:v>-9.4735340612615189E-3</c:v>
                </c:pt>
                <c:pt idx="11">
                  <c:v>-5.5692576164446768E-3</c:v>
                </c:pt>
                <c:pt idx="12">
                  <c:v>-4.1690264853228116E-3</c:v>
                </c:pt>
                <c:pt idx="13">
                  <c:v>-2.6970852654784088E-4</c:v>
                </c:pt>
                <c:pt idx="14">
                  <c:v>2.4228380120114856E-3</c:v>
                </c:pt>
                <c:pt idx="15">
                  <c:v>8.815710021580889E-3</c:v>
                </c:pt>
                <c:pt idx="16">
                  <c:v>1.4415128700460586E-2</c:v>
                </c:pt>
                <c:pt idx="17">
                  <c:v>1.9689888687677772E-2</c:v>
                </c:pt>
                <c:pt idx="18">
                  <c:v>2.5109728727676955E-2</c:v>
                </c:pt>
                <c:pt idx="19">
                  <c:v>2.9204194580787279E-2</c:v>
                </c:pt>
                <c:pt idx="20">
                  <c:v>2.9733840799217405E-2</c:v>
                </c:pt>
                <c:pt idx="21">
                  <c:v>3.03404577101394E-2</c:v>
                </c:pt>
                <c:pt idx="22">
                  <c:v>2.9402485650161361E-2</c:v>
                </c:pt>
                <c:pt idx="23">
                  <c:v>2.4960882674448293E-2</c:v>
                </c:pt>
                <c:pt idx="24">
                  <c:v>2.2731017741560781E-2</c:v>
                </c:pt>
              </c:numCache>
            </c:numRef>
          </c:val>
          <c:smooth val="0"/>
        </c:ser>
        <c:dLbls>
          <c:showLegendKey val="0"/>
          <c:showVal val="0"/>
          <c:showCatName val="0"/>
          <c:showSerName val="0"/>
          <c:showPercent val="0"/>
          <c:showBubbleSize val="0"/>
        </c:dLbls>
        <c:marker val="1"/>
        <c:smooth val="0"/>
        <c:axId val="-364451744"/>
        <c:axId val="-364450112"/>
      </c:lineChart>
      <c:dateAx>
        <c:axId val="-364451744"/>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364450112"/>
        <c:crosses val="autoZero"/>
        <c:auto val="1"/>
        <c:lblOffset val="100"/>
        <c:baseTimeUnit val="months"/>
        <c:majorUnit val="1"/>
        <c:majorTimeUnit val="months"/>
      </c:dateAx>
      <c:valAx>
        <c:axId val="-364450112"/>
        <c:scaling>
          <c:orientation val="minMax"/>
        </c:scaling>
        <c:delete val="0"/>
        <c:axPos val="l"/>
        <c:numFmt formatCode="0.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364451744"/>
        <c:crosses val="autoZero"/>
        <c:crossBetween val="between"/>
      </c:valAx>
    </c:plotArea>
    <c:legend>
      <c:legendPos val="r"/>
      <c:layout>
        <c:manualLayout>
          <c:xMode val="edge"/>
          <c:yMode val="edge"/>
          <c:x val="0.1998984615974102"/>
          <c:y val="0.84304949223119485"/>
          <c:w val="0.7201946472019467"/>
          <c:h val="0.1569505077688074"/>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888910761154855"/>
          <c:y val="3.7037037037037056E-2"/>
          <c:w val="0.84190266841644801"/>
          <c:h val="0.70152668416447961"/>
        </c:manualLayout>
      </c:layout>
      <c:lineChart>
        <c:grouping val="standard"/>
        <c:varyColors val="0"/>
        <c:ser>
          <c:idx val="0"/>
          <c:order val="0"/>
          <c:tx>
            <c:strRef>
              <c:f>'Indice global et IHPFE'!$A$2</c:f>
              <c:strCache>
                <c:ptCount val="1"/>
                <c:pt idx="0">
                  <c:v>indice global</c:v>
                </c:pt>
              </c:strCache>
            </c:strRef>
          </c:tx>
          <c:marker>
            <c:symbol val="none"/>
          </c:marker>
          <c:cat>
            <c:numRef>
              <c:f>'Indice global et IHPFE'!$B$1:$Z$1</c:f>
              <c:numCache>
                <c:formatCode>mmm\-yy</c:formatCode>
                <c:ptCount val="25"/>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numCache>
            </c:numRef>
          </c:cat>
          <c:val>
            <c:numRef>
              <c:f>'Indice global et IHPFE'!$B$2:$Z$2</c:f>
              <c:numCache>
                <c:formatCode>0</c:formatCode>
                <c:ptCount val="25"/>
                <c:pt idx="0">
                  <c:v>101.58196600000002</c:v>
                </c:pt>
                <c:pt idx="1">
                  <c:v>100.59786500000006</c:v>
                </c:pt>
                <c:pt idx="2">
                  <c:v>102.25299000000001</c:v>
                </c:pt>
                <c:pt idx="3">
                  <c:v>100.54781300000012</c:v>
                </c:pt>
                <c:pt idx="4">
                  <c:v>101.265495</c:v>
                </c:pt>
                <c:pt idx="5">
                  <c:v>100.13558900000001</c:v>
                </c:pt>
                <c:pt idx="6">
                  <c:v>99.654729999999986</c:v>
                </c:pt>
                <c:pt idx="7">
                  <c:v>100.45093699999998</c:v>
                </c:pt>
                <c:pt idx="8">
                  <c:v>102.25340300000002</c:v>
                </c:pt>
                <c:pt idx="9">
                  <c:v>101.45709400000005</c:v>
                </c:pt>
                <c:pt idx="10">
                  <c:v>103.13486300000002</c:v>
                </c:pt>
                <c:pt idx="11">
                  <c:v>104.17036799999993</c:v>
                </c:pt>
                <c:pt idx="12">
                  <c:v>103.70098599999997</c:v>
                </c:pt>
                <c:pt idx="13" formatCode="0.0">
                  <c:v>103.78508400000001</c:v>
                </c:pt>
                <c:pt idx="14" formatCode="0.0">
                  <c:v>104.54825599999999</c:v>
                </c:pt>
                <c:pt idx="15" formatCode="0.0">
                  <c:v>104.40264599999999</c:v>
                </c:pt>
                <c:pt idx="16" formatCode="0.0">
                  <c:v>105.36057199999998</c:v>
                </c:pt>
                <c:pt idx="17" formatCode="0.0">
                  <c:v>104.81240799999998</c:v>
                </c:pt>
                <c:pt idx="18" formatCode="0.0">
                  <c:v>104.49181000000007</c:v>
                </c:pt>
                <c:pt idx="19" formatCode="0.0">
                  <c:v>104.92507599999998</c:v>
                </c:pt>
                <c:pt idx="20" formatCode="0.0">
                  <c:v>104.40885400000002</c:v>
                </c:pt>
                <c:pt idx="21" formatCode="0.0">
                  <c:v>102.62185199999998</c:v>
                </c:pt>
                <c:pt idx="22" formatCode="0.0">
                  <c:v>102.31235799999995</c:v>
                </c:pt>
                <c:pt idx="23" formatCode="0.0">
                  <c:v>102.30344249494975</c:v>
                </c:pt>
                <c:pt idx="24" formatCode="0.0">
                  <c:v>103.15378399999994</c:v>
                </c:pt>
              </c:numCache>
            </c:numRef>
          </c:val>
          <c:smooth val="0"/>
        </c:ser>
        <c:ser>
          <c:idx val="1"/>
          <c:order val="1"/>
          <c:tx>
            <c:strRef>
              <c:f>'Indice global et IHPFE'!$A$3</c:f>
              <c:strCache>
                <c:ptCount val="1"/>
                <c:pt idx="0">
                  <c:v>Indice hors énergie, hors produits frais</c:v>
                </c:pt>
              </c:strCache>
            </c:strRef>
          </c:tx>
          <c:spPr>
            <a:ln>
              <a:headEnd type="oval"/>
            </a:ln>
          </c:spPr>
          <c:marker>
            <c:symbol val="none"/>
          </c:marker>
          <c:cat>
            <c:numRef>
              <c:f>'Indice global et IHPFE'!$B$1:$Z$1</c:f>
              <c:numCache>
                <c:formatCode>mmm\-yy</c:formatCode>
                <c:ptCount val="25"/>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numCache>
            </c:numRef>
          </c:cat>
          <c:val>
            <c:numRef>
              <c:f>'Indice global et IHPFE'!$B$3:$Z$3</c:f>
              <c:numCache>
                <c:formatCode>0</c:formatCode>
                <c:ptCount val="25"/>
                <c:pt idx="0">
                  <c:v>102.23215694694792</c:v>
                </c:pt>
                <c:pt idx="1">
                  <c:v>101.88334732294958</c:v>
                </c:pt>
                <c:pt idx="2">
                  <c:v>101.29173680872962</c:v>
                </c:pt>
                <c:pt idx="3">
                  <c:v>99.080495771138374</c:v>
                </c:pt>
                <c:pt idx="4">
                  <c:v>100.72</c:v>
                </c:pt>
                <c:pt idx="5">
                  <c:v>98.953448448556671</c:v>
                </c:pt>
                <c:pt idx="6">
                  <c:v>102.7</c:v>
                </c:pt>
                <c:pt idx="7">
                  <c:v>102.48</c:v>
                </c:pt>
                <c:pt idx="8">
                  <c:v>102.44000000000007</c:v>
                </c:pt>
                <c:pt idx="9">
                  <c:v>102.51</c:v>
                </c:pt>
                <c:pt idx="10">
                  <c:v>104.23</c:v>
                </c:pt>
                <c:pt idx="11">
                  <c:v>104.74000000000002</c:v>
                </c:pt>
                <c:pt idx="12">
                  <c:v>103.97</c:v>
                </c:pt>
                <c:pt idx="13" formatCode="0.0">
                  <c:v>104.09</c:v>
                </c:pt>
                <c:pt idx="14" formatCode="0.0">
                  <c:v>104.21000000000002</c:v>
                </c:pt>
                <c:pt idx="15" formatCode="General">
                  <c:v>104.32</c:v>
                </c:pt>
                <c:pt idx="16" formatCode="General">
                  <c:v>105.56</c:v>
                </c:pt>
                <c:pt idx="17" formatCode="0.0">
                  <c:v>105.97</c:v>
                </c:pt>
                <c:pt idx="18" formatCode="0.0">
                  <c:v>106.19</c:v>
                </c:pt>
                <c:pt idx="19" formatCode="General">
                  <c:v>106.11999999999999</c:v>
                </c:pt>
                <c:pt idx="20" formatCode="0.0">
                  <c:v>106.26</c:v>
                </c:pt>
                <c:pt idx="21" formatCode="0.0">
                  <c:v>105.33</c:v>
                </c:pt>
                <c:pt idx="22" formatCode="0.0">
                  <c:v>104.8</c:v>
                </c:pt>
                <c:pt idx="23" formatCode="0.0">
                  <c:v>104.56829416562344</c:v>
                </c:pt>
                <c:pt idx="24" formatCode="0.0">
                  <c:v>104.66892691855379</c:v>
                </c:pt>
              </c:numCache>
            </c:numRef>
          </c:val>
          <c:smooth val="0"/>
        </c:ser>
        <c:dLbls>
          <c:showLegendKey val="0"/>
          <c:showVal val="0"/>
          <c:showCatName val="0"/>
          <c:showSerName val="0"/>
          <c:showPercent val="0"/>
          <c:showBubbleSize val="0"/>
        </c:dLbls>
        <c:smooth val="0"/>
        <c:axId val="-364464256"/>
        <c:axId val="-364449024"/>
      </c:lineChart>
      <c:dateAx>
        <c:axId val="-364464256"/>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364449024"/>
        <c:crosses val="autoZero"/>
        <c:auto val="1"/>
        <c:lblOffset val="100"/>
        <c:baseTimeUnit val="months"/>
        <c:majorUnit val="1"/>
        <c:majorTimeUnit val="months"/>
        <c:minorUnit val="1"/>
        <c:minorTimeUnit val="months"/>
      </c:dateAx>
      <c:valAx>
        <c:axId val="-364449024"/>
        <c:scaling>
          <c:orientation val="minMax"/>
          <c:min val="98"/>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364464256"/>
        <c:crosses val="autoZero"/>
        <c:crossBetween val="between"/>
      </c:valAx>
    </c:plotArea>
    <c:legend>
      <c:legendPos val="r"/>
      <c:layout>
        <c:manualLayout>
          <c:xMode val="edge"/>
          <c:yMode val="edge"/>
          <c:x val="9.7916596529946845E-2"/>
          <c:y val="0.89583627627941864"/>
          <c:w val="0.79791796809246596"/>
          <c:h val="7.6389288548233583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0909090909091064E-2"/>
          <c:y val="4.1666807952229823E-2"/>
          <c:w val="0.83442050263197665"/>
          <c:h val="0.64583552325956228"/>
        </c:manualLayout>
      </c:layout>
      <c:lineChart>
        <c:grouping val="standard"/>
        <c:varyColors val="0"/>
        <c:ser>
          <c:idx val="0"/>
          <c:order val="0"/>
          <c:tx>
            <c:strRef>
              <c:f>'Indice global et produits alime'!$A$2</c:f>
              <c:strCache>
                <c:ptCount val="1"/>
                <c:pt idx="0">
                  <c:v>indice global</c:v>
                </c:pt>
              </c:strCache>
            </c:strRef>
          </c:tx>
          <c:marker>
            <c:symbol val="none"/>
          </c:marker>
          <c:cat>
            <c:numRef>
              <c:f>'Indice global et produits alime'!$B$1:$Z$1</c:f>
              <c:numCache>
                <c:formatCode>mmm\-yy</c:formatCode>
                <c:ptCount val="25"/>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numCache>
            </c:numRef>
          </c:cat>
          <c:val>
            <c:numRef>
              <c:f>'Indice global et produits alime'!$B$2:$Z$2</c:f>
              <c:numCache>
                <c:formatCode>0</c:formatCode>
                <c:ptCount val="25"/>
                <c:pt idx="0">
                  <c:v>101.58196600000002</c:v>
                </c:pt>
                <c:pt idx="1">
                  <c:v>100.59786500000006</c:v>
                </c:pt>
                <c:pt idx="2">
                  <c:v>102.25299000000001</c:v>
                </c:pt>
                <c:pt idx="3">
                  <c:v>100.54781300000012</c:v>
                </c:pt>
                <c:pt idx="4">
                  <c:v>101.265495</c:v>
                </c:pt>
                <c:pt idx="5">
                  <c:v>100.13558900000001</c:v>
                </c:pt>
                <c:pt idx="6">
                  <c:v>99.654729999999986</c:v>
                </c:pt>
                <c:pt idx="7">
                  <c:v>100.45093699999998</c:v>
                </c:pt>
                <c:pt idx="8">
                  <c:v>102.25340300000002</c:v>
                </c:pt>
                <c:pt idx="9">
                  <c:v>101.45709400000005</c:v>
                </c:pt>
                <c:pt idx="10">
                  <c:v>103.13486300000002</c:v>
                </c:pt>
                <c:pt idx="11">
                  <c:v>104.17036799999993</c:v>
                </c:pt>
                <c:pt idx="12">
                  <c:v>103.70098599999997</c:v>
                </c:pt>
                <c:pt idx="13" formatCode="0.00">
                  <c:v>103.78508400000001</c:v>
                </c:pt>
                <c:pt idx="14" formatCode="0.0">
                  <c:v>104.54825599999999</c:v>
                </c:pt>
                <c:pt idx="15" formatCode="0.0">
                  <c:v>104.40264599999999</c:v>
                </c:pt>
                <c:pt idx="16" formatCode="0.0">
                  <c:v>105.36057199999998</c:v>
                </c:pt>
                <c:pt idx="17" formatCode="0.0">
                  <c:v>104.81240799999998</c:v>
                </c:pt>
                <c:pt idx="18" formatCode="0.0">
                  <c:v>104.49181000000007</c:v>
                </c:pt>
                <c:pt idx="19" formatCode="0.0">
                  <c:v>104.92507599999998</c:v>
                </c:pt>
                <c:pt idx="20" formatCode="0.0">
                  <c:v>104.40885400000002</c:v>
                </c:pt>
                <c:pt idx="21" formatCode="0.0">
                  <c:v>102.62185199999998</c:v>
                </c:pt>
                <c:pt idx="22" formatCode="0.0">
                  <c:v>102.31235799999995</c:v>
                </c:pt>
                <c:pt idx="23" formatCode="0.0">
                  <c:v>102.30344249494975</c:v>
                </c:pt>
                <c:pt idx="24" formatCode="0.0">
                  <c:v>103.15378399999994</c:v>
                </c:pt>
              </c:numCache>
            </c:numRef>
          </c:val>
          <c:smooth val="0"/>
        </c:ser>
        <c:ser>
          <c:idx val="1"/>
          <c:order val="1"/>
          <c:tx>
            <c:strRef>
              <c:f>'Indice global et produits alime'!$A$3</c:f>
              <c:strCache>
                <c:ptCount val="1"/>
                <c:pt idx="0">
                  <c:v>Indice produits alimentaires et boissons non alcoolisées</c:v>
                </c:pt>
              </c:strCache>
            </c:strRef>
          </c:tx>
          <c:spPr>
            <a:ln>
              <a:headEnd type="diamond"/>
            </a:ln>
          </c:spPr>
          <c:marker>
            <c:symbol val="none"/>
          </c:marker>
          <c:cat>
            <c:numRef>
              <c:f>'Indice global et produits alime'!$B$1:$Z$1</c:f>
              <c:numCache>
                <c:formatCode>mmm\-yy</c:formatCode>
                <c:ptCount val="25"/>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numCache>
            </c:numRef>
          </c:cat>
          <c:val>
            <c:numRef>
              <c:f>'Indice global et produits alime'!$B$3:$Z$3</c:f>
              <c:numCache>
                <c:formatCode>0</c:formatCode>
                <c:ptCount val="25"/>
                <c:pt idx="0">
                  <c:v>103.84</c:v>
                </c:pt>
                <c:pt idx="1">
                  <c:v>99.940000000000026</c:v>
                </c:pt>
                <c:pt idx="2">
                  <c:v>106.46000000000002</c:v>
                </c:pt>
                <c:pt idx="3">
                  <c:v>101.42</c:v>
                </c:pt>
                <c:pt idx="4">
                  <c:v>103.49000000000002</c:v>
                </c:pt>
                <c:pt idx="5">
                  <c:v>97.669999999999987</c:v>
                </c:pt>
                <c:pt idx="6">
                  <c:v>93.47</c:v>
                </c:pt>
                <c:pt idx="7">
                  <c:v>96.77</c:v>
                </c:pt>
                <c:pt idx="8">
                  <c:v>99.5</c:v>
                </c:pt>
                <c:pt idx="9">
                  <c:v>97</c:v>
                </c:pt>
                <c:pt idx="10">
                  <c:v>101.52</c:v>
                </c:pt>
                <c:pt idx="11">
                  <c:v>103.57</c:v>
                </c:pt>
                <c:pt idx="12">
                  <c:v>102.41000000000007</c:v>
                </c:pt>
                <c:pt idx="13" formatCode="0.00">
                  <c:v>103.04</c:v>
                </c:pt>
                <c:pt idx="14" formatCode="0.0">
                  <c:v>105.36999999999999</c:v>
                </c:pt>
                <c:pt idx="15" formatCode="General">
                  <c:v>105.24000000000002</c:v>
                </c:pt>
                <c:pt idx="16" formatCode="General">
                  <c:v>105.61999999999999</c:v>
                </c:pt>
                <c:pt idx="17" formatCode="0.0">
                  <c:v>103.94000000000007</c:v>
                </c:pt>
                <c:pt idx="18" formatCode="0.0">
                  <c:v>102.34</c:v>
                </c:pt>
                <c:pt idx="19" formatCode="0.0">
                  <c:v>104.07</c:v>
                </c:pt>
                <c:pt idx="20" formatCode="0.0">
                  <c:v>102.85</c:v>
                </c:pt>
                <c:pt idx="21" formatCode="0.0">
                  <c:v>101.19</c:v>
                </c:pt>
                <c:pt idx="22" formatCode="0.0">
                  <c:v>101.22</c:v>
                </c:pt>
                <c:pt idx="23" formatCode="0.0">
                  <c:v>101.04047365516433</c:v>
                </c:pt>
                <c:pt idx="24" formatCode="0.0">
                  <c:v>103.58</c:v>
                </c:pt>
              </c:numCache>
            </c:numRef>
          </c:val>
          <c:smooth val="0"/>
        </c:ser>
        <c:dLbls>
          <c:showLegendKey val="0"/>
          <c:showVal val="0"/>
          <c:showCatName val="0"/>
          <c:showSerName val="0"/>
          <c:showPercent val="0"/>
          <c:showBubbleSize val="0"/>
        </c:dLbls>
        <c:smooth val="0"/>
        <c:axId val="-364459904"/>
        <c:axId val="-364458272"/>
      </c:lineChart>
      <c:dateAx>
        <c:axId val="-364459904"/>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364458272"/>
        <c:crossesAt val="90"/>
        <c:auto val="1"/>
        <c:lblOffset val="100"/>
        <c:baseTimeUnit val="months"/>
        <c:majorUnit val="1"/>
        <c:majorTimeUnit val="months"/>
      </c:dateAx>
      <c:valAx>
        <c:axId val="-364458272"/>
        <c:scaling>
          <c:orientation val="minMax"/>
          <c:min val="90"/>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364459904"/>
        <c:crosses val="autoZero"/>
        <c:crossBetween val="between"/>
      </c:valAx>
    </c:plotArea>
    <c:legend>
      <c:legendPos val="r"/>
      <c:layout>
        <c:manualLayout>
          <c:xMode val="edge"/>
          <c:yMode val="edge"/>
          <c:x val="5.2512330560222434E-3"/>
          <c:y val="0.89930847185768448"/>
          <c:w val="0.95869805477400338"/>
          <c:h val="7.6389253426655146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9583333333333348E-2"/>
          <c:y val="4.1666666666666664E-2"/>
          <c:w val="0.8125"/>
          <c:h val="0.61805555555555802"/>
        </c:manualLayout>
      </c:layout>
      <c:lineChart>
        <c:grouping val="standard"/>
        <c:varyColors val="0"/>
        <c:ser>
          <c:idx val="0"/>
          <c:order val="0"/>
          <c:tx>
            <c:strRef>
              <c:f>'Indice logement et transport'!$A$2</c:f>
              <c:strCache>
                <c:ptCount val="1"/>
                <c:pt idx="0">
                  <c:v>Indice logement,eau, gaz, électricité et autres combustibles</c:v>
                </c:pt>
              </c:strCache>
            </c:strRef>
          </c:tx>
          <c:marker>
            <c:symbol val="none"/>
          </c:marker>
          <c:cat>
            <c:numRef>
              <c:f>'Indice logement et transport'!$B$1:$Z$1</c:f>
              <c:numCache>
                <c:formatCode>mmm\-yy</c:formatCode>
                <c:ptCount val="25"/>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numCache>
            </c:numRef>
          </c:cat>
          <c:val>
            <c:numRef>
              <c:f>'Indice logement et transport'!$B$2:$Z$2</c:f>
              <c:numCache>
                <c:formatCode>0.0</c:formatCode>
                <c:ptCount val="25"/>
                <c:pt idx="0" formatCode="General">
                  <c:v>98.2</c:v>
                </c:pt>
                <c:pt idx="1">
                  <c:v>98.27</c:v>
                </c:pt>
                <c:pt idx="2">
                  <c:v>96.63</c:v>
                </c:pt>
                <c:pt idx="3" formatCode="General">
                  <c:v>97.01</c:v>
                </c:pt>
                <c:pt idx="4" formatCode="General">
                  <c:v>97.4</c:v>
                </c:pt>
                <c:pt idx="5">
                  <c:v>100.71000000000002</c:v>
                </c:pt>
                <c:pt idx="6" formatCode="General">
                  <c:v>99.32</c:v>
                </c:pt>
                <c:pt idx="7">
                  <c:v>99.7</c:v>
                </c:pt>
                <c:pt idx="8">
                  <c:v>104.4</c:v>
                </c:pt>
                <c:pt idx="9" formatCode="General">
                  <c:v>103.36</c:v>
                </c:pt>
                <c:pt idx="10">
                  <c:v>103.83</c:v>
                </c:pt>
                <c:pt idx="11" formatCode="General">
                  <c:v>103.3</c:v>
                </c:pt>
                <c:pt idx="12">
                  <c:v>104.17999999999998</c:v>
                </c:pt>
                <c:pt idx="13" formatCode="General">
                  <c:v>103.61999999999999</c:v>
                </c:pt>
                <c:pt idx="14" formatCode="General">
                  <c:v>103.25</c:v>
                </c:pt>
                <c:pt idx="15" formatCode="General">
                  <c:v>103.17999999999998</c:v>
                </c:pt>
                <c:pt idx="16">
                  <c:v>103.29</c:v>
                </c:pt>
                <c:pt idx="17">
                  <c:v>103.11</c:v>
                </c:pt>
                <c:pt idx="18">
                  <c:v>105.38</c:v>
                </c:pt>
                <c:pt idx="19" formatCode="General">
                  <c:v>101.92</c:v>
                </c:pt>
                <c:pt idx="20">
                  <c:v>100.66</c:v>
                </c:pt>
                <c:pt idx="21">
                  <c:v>97.55</c:v>
                </c:pt>
                <c:pt idx="22">
                  <c:v>98.28</c:v>
                </c:pt>
                <c:pt idx="23">
                  <c:v>97.67480443021671</c:v>
                </c:pt>
                <c:pt idx="24">
                  <c:v>97.35</c:v>
                </c:pt>
              </c:numCache>
            </c:numRef>
          </c:val>
          <c:smooth val="0"/>
        </c:ser>
        <c:ser>
          <c:idx val="1"/>
          <c:order val="1"/>
          <c:tx>
            <c:strRef>
              <c:f>'Indice logement et transport'!$A$3</c:f>
              <c:strCache>
                <c:ptCount val="1"/>
                <c:pt idx="0">
                  <c:v>Indice transport</c:v>
                </c:pt>
              </c:strCache>
            </c:strRef>
          </c:tx>
          <c:spPr>
            <a:ln>
              <a:headEnd type="oval"/>
            </a:ln>
          </c:spPr>
          <c:marker>
            <c:symbol val="none"/>
          </c:marker>
          <c:cat>
            <c:numRef>
              <c:f>'Indice logement et transport'!$B$1:$Z$1</c:f>
              <c:numCache>
                <c:formatCode>mmm\-yy</c:formatCode>
                <c:ptCount val="25"/>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numCache>
            </c:numRef>
          </c:cat>
          <c:val>
            <c:numRef>
              <c:f>'Indice logement et transport'!$B$3:$Z$3</c:f>
              <c:numCache>
                <c:formatCode>0.0</c:formatCode>
                <c:ptCount val="25"/>
                <c:pt idx="0" formatCode="General">
                  <c:v>96.4</c:v>
                </c:pt>
                <c:pt idx="1">
                  <c:v>97.61</c:v>
                </c:pt>
                <c:pt idx="2">
                  <c:v>96.77</c:v>
                </c:pt>
                <c:pt idx="3" formatCode="General">
                  <c:v>96.36</c:v>
                </c:pt>
                <c:pt idx="4" formatCode="General">
                  <c:v>97.6</c:v>
                </c:pt>
                <c:pt idx="5">
                  <c:v>100.11</c:v>
                </c:pt>
                <c:pt idx="6" formatCode="General">
                  <c:v>110.34</c:v>
                </c:pt>
                <c:pt idx="7">
                  <c:v>106.16999999999999</c:v>
                </c:pt>
                <c:pt idx="8">
                  <c:v>108.14999999999999</c:v>
                </c:pt>
                <c:pt idx="9" formatCode="General">
                  <c:v>110.47</c:v>
                </c:pt>
                <c:pt idx="10">
                  <c:v>108.89</c:v>
                </c:pt>
                <c:pt idx="11" formatCode="General">
                  <c:v>110.34</c:v>
                </c:pt>
                <c:pt idx="12">
                  <c:v>108.28</c:v>
                </c:pt>
                <c:pt idx="13" formatCode="General">
                  <c:v>107.29</c:v>
                </c:pt>
                <c:pt idx="14" formatCode="General">
                  <c:v>106.66999999999999</c:v>
                </c:pt>
                <c:pt idx="15" formatCode="General">
                  <c:v>105.72</c:v>
                </c:pt>
                <c:pt idx="16">
                  <c:v>112.01</c:v>
                </c:pt>
                <c:pt idx="17">
                  <c:v>111.69</c:v>
                </c:pt>
                <c:pt idx="18">
                  <c:v>111.88</c:v>
                </c:pt>
                <c:pt idx="19" formatCode="General">
                  <c:v>111.94000000000007</c:v>
                </c:pt>
                <c:pt idx="20">
                  <c:v>111.47</c:v>
                </c:pt>
                <c:pt idx="21">
                  <c:v>107.55</c:v>
                </c:pt>
                <c:pt idx="22">
                  <c:v>104.57</c:v>
                </c:pt>
                <c:pt idx="23">
                  <c:v>105.05584167309343</c:v>
                </c:pt>
                <c:pt idx="24">
                  <c:v>105.04</c:v>
                </c:pt>
              </c:numCache>
            </c:numRef>
          </c:val>
          <c:smooth val="0"/>
        </c:ser>
        <c:dLbls>
          <c:showLegendKey val="0"/>
          <c:showVal val="0"/>
          <c:showCatName val="0"/>
          <c:showSerName val="0"/>
          <c:showPercent val="0"/>
          <c:showBubbleSize val="0"/>
        </c:dLbls>
        <c:smooth val="0"/>
        <c:axId val="-1104969216"/>
        <c:axId val="-1104971936"/>
      </c:lineChart>
      <c:dateAx>
        <c:axId val="-1104969216"/>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104971936"/>
        <c:crosses val="autoZero"/>
        <c:auto val="1"/>
        <c:lblOffset val="100"/>
        <c:baseTimeUnit val="months"/>
        <c:majorUnit val="1"/>
        <c:majorTimeUnit val="months"/>
        <c:minorUnit val="1"/>
        <c:minorTimeUnit val="months"/>
      </c:dateAx>
      <c:valAx>
        <c:axId val="-1104971936"/>
        <c:scaling>
          <c:orientation val="minMax"/>
          <c:min val="95"/>
        </c:scaling>
        <c:delete val="0"/>
        <c:axPos val="l"/>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104969216"/>
        <c:crosses val="autoZero"/>
        <c:crossBetween val="between"/>
      </c:valAx>
    </c:plotArea>
    <c:legend>
      <c:legendPos val="r"/>
      <c:layout>
        <c:manualLayout>
          <c:xMode val="edge"/>
          <c:yMode val="edge"/>
          <c:x val="0.15000020830729563"/>
          <c:y val="0.81944736074657332"/>
          <c:w val="0.78333479148439789"/>
          <c:h val="0.1527781423155439"/>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000020345093513"/>
          <c:y val="4.1666807952229823E-2"/>
          <c:w val="0.82231408573928078"/>
          <c:h val="0.67322529429827771"/>
        </c:manualLayout>
      </c:layout>
      <c:lineChart>
        <c:grouping val="standard"/>
        <c:varyColors val="0"/>
        <c:ser>
          <c:idx val="0"/>
          <c:order val="0"/>
          <c:tx>
            <c:strRef>
              <c:f>'Indice origine'!$A$2</c:f>
              <c:strCache>
                <c:ptCount val="1"/>
                <c:pt idx="0">
                  <c:v>Importés</c:v>
                </c:pt>
              </c:strCache>
            </c:strRef>
          </c:tx>
          <c:marker>
            <c:symbol val="none"/>
          </c:marker>
          <c:cat>
            <c:numRef>
              <c:f>'Indice origine'!$B$1:$Z$1</c:f>
              <c:numCache>
                <c:formatCode>mmm\-yy</c:formatCode>
                <c:ptCount val="25"/>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numCache>
            </c:numRef>
          </c:cat>
          <c:val>
            <c:numRef>
              <c:f>'Indice origine'!$B$2:$Z$2</c:f>
              <c:numCache>
                <c:formatCode>0</c:formatCode>
                <c:ptCount val="25"/>
                <c:pt idx="0">
                  <c:v>98.227359035110126</c:v>
                </c:pt>
                <c:pt idx="1">
                  <c:v>98.979339232793578</c:v>
                </c:pt>
                <c:pt idx="2">
                  <c:v>98.248566098207888</c:v>
                </c:pt>
                <c:pt idx="3">
                  <c:v>98.897146553273799</c:v>
                </c:pt>
                <c:pt idx="4">
                  <c:v>99.321204943557007</c:v>
                </c:pt>
                <c:pt idx="5">
                  <c:v>98.569924508133496</c:v>
                </c:pt>
                <c:pt idx="6">
                  <c:v>101.46000000000002</c:v>
                </c:pt>
                <c:pt idx="7">
                  <c:v>101.33</c:v>
                </c:pt>
                <c:pt idx="8">
                  <c:v>101.81</c:v>
                </c:pt>
                <c:pt idx="9">
                  <c:v>101.93</c:v>
                </c:pt>
                <c:pt idx="10">
                  <c:v>101.54</c:v>
                </c:pt>
                <c:pt idx="11">
                  <c:v>102.85</c:v>
                </c:pt>
                <c:pt idx="12">
                  <c:v>102.08</c:v>
                </c:pt>
                <c:pt idx="13" formatCode="General">
                  <c:v>101.61999999999999</c:v>
                </c:pt>
                <c:pt idx="14" formatCode="General">
                  <c:v>101.66999999999999</c:v>
                </c:pt>
                <c:pt idx="15" formatCode="General">
                  <c:v>101.47</c:v>
                </c:pt>
                <c:pt idx="16" formatCode="General">
                  <c:v>102.11</c:v>
                </c:pt>
                <c:pt idx="17" formatCode="0.0">
                  <c:v>102.53</c:v>
                </c:pt>
                <c:pt idx="18" formatCode="0.0">
                  <c:v>102.28</c:v>
                </c:pt>
                <c:pt idx="19" formatCode="0.0">
                  <c:v>102.36999999999999</c:v>
                </c:pt>
                <c:pt idx="20" formatCode="0.0">
                  <c:v>102.22</c:v>
                </c:pt>
                <c:pt idx="21" formatCode="0.0">
                  <c:v>101.4</c:v>
                </c:pt>
                <c:pt idx="22" formatCode="0.0">
                  <c:v>101.33</c:v>
                </c:pt>
                <c:pt idx="23" formatCode="0.0">
                  <c:v>101.14924783602829</c:v>
                </c:pt>
                <c:pt idx="24" formatCode="0.0">
                  <c:v>101.27040490879355</c:v>
                </c:pt>
              </c:numCache>
            </c:numRef>
          </c:val>
          <c:smooth val="0"/>
        </c:ser>
        <c:ser>
          <c:idx val="1"/>
          <c:order val="1"/>
          <c:tx>
            <c:strRef>
              <c:f>'Indice origine'!$A$3</c:f>
              <c:strCache>
                <c:ptCount val="1"/>
                <c:pt idx="0">
                  <c:v>Locaux</c:v>
                </c:pt>
              </c:strCache>
            </c:strRef>
          </c:tx>
          <c:spPr>
            <a:ln>
              <a:headEnd type="diamond"/>
            </a:ln>
          </c:spPr>
          <c:marker>
            <c:symbol val="none"/>
          </c:marker>
          <c:cat>
            <c:numRef>
              <c:f>'Indice origine'!$B$1:$Z$1</c:f>
              <c:numCache>
                <c:formatCode>mmm\-yy</c:formatCode>
                <c:ptCount val="25"/>
                <c:pt idx="0">
                  <c:v>43525</c:v>
                </c:pt>
                <c:pt idx="1">
                  <c:v>43556</c:v>
                </c:pt>
                <c:pt idx="2">
                  <c:v>43586</c:v>
                </c:pt>
                <c:pt idx="3">
                  <c:v>43617</c:v>
                </c:pt>
                <c:pt idx="4">
                  <c:v>43647</c:v>
                </c:pt>
                <c:pt idx="5">
                  <c:v>43678</c:v>
                </c:pt>
                <c:pt idx="6">
                  <c:v>43709</c:v>
                </c:pt>
                <c:pt idx="7">
                  <c:v>43739</c:v>
                </c:pt>
                <c:pt idx="8">
                  <c:v>43770</c:v>
                </c:pt>
                <c:pt idx="9">
                  <c:v>43800</c:v>
                </c:pt>
                <c:pt idx="10">
                  <c:v>43831</c:v>
                </c:pt>
                <c:pt idx="11">
                  <c:v>43862</c:v>
                </c:pt>
                <c:pt idx="12">
                  <c:v>43891</c:v>
                </c:pt>
                <c:pt idx="13">
                  <c:v>43922</c:v>
                </c:pt>
                <c:pt idx="14">
                  <c:v>43952</c:v>
                </c:pt>
                <c:pt idx="15">
                  <c:v>43983</c:v>
                </c:pt>
                <c:pt idx="16">
                  <c:v>44013</c:v>
                </c:pt>
                <c:pt idx="17">
                  <c:v>44044</c:v>
                </c:pt>
                <c:pt idx="18">
                  <c:v>44075</c:v>
                </c:pt>
                <c:pt idx="19">
                  <c:v>44105</c:v>
                </c:pt>
                <c:pt idx="20">
                  <c:v>44136</c:v>
                </c:pt>
                <c:pt idx="21">
                  <c:v>44166</c:v>
                </c:pt>
                <c:pt idx="22">
                  <c:v>44197</c:v>
                </c:pt>
                <c:pt idx="23">
                  <c:v>44228</c:v>
                </c:pt>
                <c:pt idx="24">
                  <c:v>44256</c:v>
                </c:pt>
              </c:numCache>
            </c:numRef>
          </c:cat>
          <c:val>
            <c:numRef>
              <c:f>'Indice origine'!$B$3:$Z$3</c:f>
              <c:numCache>
                <c:formatCode>0</c:formatCode>
                <c:ptCount val="25"/>
                <c:pt idx="0">
                  <c:v>102.84993994304725</c:v>
                </c:pt>
                <c:pt idx="1">
                  <c:v>101.20963517768307</c:v>
                </c:pt>
                <c:pt idx="2">
                  <c:v>103.76658167185009</c:v>
                </c:pt>
                <c:pt idx="3">
                  <c:v>100.80474672789985</c:v>
                </c:pt>
                <c:pt idx="4">
                  <c:v>102.18585845939404</c:v>
                </c:pt>
                <c:pt idx="5">
                  <c:v>100.7273786790946</c:v>
                </c:pt>
                <c:pt idx="6">
                  <c:v>99.75</c:v>
                </c:pt>
                <c:pt idx="7">
                  <c:v>100.81</c:v>
                </c:pt>
                <c:pt idx="8">
                  <c:v>105.14</c:v>
                </c:pt>
                <c:pt idx="9">
                  <c:v>101.81</c:v>
                </c:pt>
                <c:pt idx="10">
                  <c:v>104.42</c:v>
                </c:pt>
                <c:pt idx="11">
                  <c:v>105.01</c:v>
                </c:pt>
                <c:pt idx="12">
                  <c:v>104.9</c:v>
                </c:pt>
                <c:pt idx="13" formatCode="General">
                  <c:v>105.35</c:v>
                </c:pt>
                <c:pt idx="14" formatCode="General">
                  <c:v>106.59</c:v>
                </c:pt>
                <c:pt idx="15" formatCode="General">
                  <c:v>106.36</c:v>
                </c:pt>
                <c:pt idx="16" formatCode="General">
                  <c:v>107.29</c:v>
                </c:pt>
                <c:pt idx="17" formatCode="0.0">
                  <c:v>106.72</c:v>
                </c:pt>
                <c:pt idx="18" formatCode="0.0">
                  <c:v>106.29</c:v>
                </c:pt>
                <c:pt idx="19" formatCode="0.0">
                  <c:v>106.89</c:v>
                </c:pt>
                <c:pt idx="20" formatCode="0.0">
                  <c:v>107.27</c:v>
                </c:pt>
                <c:pt idx="21" formatCode="0.0">
                  <c:v>103.85</c:v>
                </c:pt>
                <c:pt idx="22" formatCode="0.0">
                  <c:v>103.16999999999999</c:v>
                </c:pt>
                <c:pt idx="23" formatCode="0.0">
                  <c:v>102.39003617308843</c:v>
                </c:pt>
                <c:pt idx="24" formatCode="0.0">
                  <c:v>103.78487362236906</c:v>
                </c:pt>
              </c:numCache>
            </c:numRef>
          </c:val>
          <c:smooth val="0"/>
        </c:ser>
        <c:dLbls>
          <c:showLegendKey val="0"/>
          <c:showVal val="0"/>
          <c:showCatName val="0"/>
          <c:showSerName val="0"/>
          <c:showPercent val="0"/>
          <c:showBubbleSize val="0"/>
        </c:dLbls>
        <c:smooth val="0"/>
        <c:axId val="-1104977920"/>
        <c:axId val="-1104968128"/>
      </c:lineChart>
      <c:dateAx>
        <c:axId val="-1104977920"/>
        <c:scaling>
          <c:orientation val="minMax"/>
        </c:scaling>
        <c:delete val="0"/>
        <c:axPos val="b"/>
        <c:numFmt formatCode="mmm\-yy" sourceLinked="0"/>
        <c:majorTickMark val="out"/>
        <c:minorTickMark val="none"/>
        <c:tickLblPos val="nextTo"/>
        <c:txPr>
          <a:bodyPr rot="-2700000" vert="horz"/>
          <a:lstStyle/>
          <a:p>
            <a:pPr>
              <a:defRPr sz="800" b="0" i="0" u="none" strike="noStrike" baseline="0">
                <a:solidFill>
                  <a:srgbClr val="000000"/>
                </a:solidFill>
                <a:latin typeface="Calibri"/>
                <a:ea typeface="Calibri"/>
                <a:cs typeface="Calibri"/>
              </a:defRPr>
            </a:pPr>
            <a:endParaRPr lang="fr-FR"/>
          </a:p>
        </c:txPr>
        <c:crossAx val="-1104968128"/>
        <c:crosses val="autoZero"/>
        <c:auto val="1"/>
        <c:lblOffset val="100"/>
        <c:baseTimeUnit val="months"/>
        <c:majorUnit val="1"/>
        <c:majorTimeUnit val="months"/>
        <c:minorUnit val="1"/>
        <c:minorTimeUnit val="months"/>
      </c:dateAx>
      <c:valAx>
        <c:axId val="-1104968128"/>
        <c:scaling>
          <c:orientation val="minMax"/>
          <c:min val="95"/>
        </c:scaling>
        <c:delete val="0"/>
        <c:axPos val="l"/>
        <c:numFmt formatCode="0"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1104977920"/>
        <c:crosses val="autoZero"/>
        <c:crossBetween val="between"/>
      </c:valAx>
    </c:plotArea>
    <c:legend>
      <c:legendPos val="r"/>
      <c:layout>
        <c:manualLayout>
          <c:xMode val="edge"/>
          <c:yMode val="edge"/>
          <c:x val="0.32501910247416138"/>
          <c:y val="0.9178383747418708"/>
          <c:w val="0.34791732283464727"/>
          <c:h val="7.6389253426655146E-2"/>
        </c:manualLayout>
      </c:layout>
      <c:overlay val="0"/>
      <c:txPr>
        <a:bodyPr/>
        <a:lstStyle/>
        <a:p>
          <a:pPr>
            <a:defRPr sz="920" b="0" i="0" u="none" strike="noStrike" baseline="0">
              <a:solidFill>
                <a:srgbClr val="000000"/>
              </a:solidFill>
              <a:latin typeface="Calibri"/>
              <a:ea typeface="Calibri"/>
              <a:cs typeface="Calibri"/>
            </a:defRPr>
          </a:pPr>
          <a:endParaRPr lang="fr-FR"/>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A86E6-A160-42FE-900F-DBD11AC15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2398</Words>
  <Characters>13190</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Souliath CHITOU</dc:creator>
  <cp:lastModifiedBy>Utilisateur</cp:lastModifiedBy>
  <cp:revision>32</cp:revision>
  <cp:lastPrinted>2021-04-08T10:11:00Z</cp:lastPrinted>
  <dcterms:created xsi:type="dcterms:W3CDTF">2021-04-06T09:40:00Z</dcterms:created>
  <dcterms:modified xsi:type="dcterms:W3CDTF">2021-04-08T10:15:00Z</dcterms:modified>
</cp:coreProperties>
</file>